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highlight w:val="none"/>
          <w:lang w:val="zh-CN"/>
        </w:rPr>
      </w:pPr>
      <w:bookmarkStart w:id="1" w:name="_GoBack"/>
      <w:bookmarkEnd w:id="1"/>
      <w:r>
        <w:rPr>
          <w:rFonts w:hint="eastAsia"/>
          <w:sz w:val="32"/>
          <w:szCs w:val="32"/>
          <w:highlight w:val="none"/>
          <w:lang w:val="zh-CN"/>
        </w:rPr>
        <w:t>附件：</w:t>
      </w:r>
    </w:p>
    <w:p>
      <w:pPr>
        <w:jc w:val="center"/>
        <w:rPr>
          <w:rFonts w:ascii="方正小标宋简体" w:hAnsi="方正小标宋简体" w:eastAsia="方正小标宋简体" w:cs="方正小标宋简体"/>
          <w:bCs/>
          <w:kern w:val="0"/>
          <w:sz w:val="52"/>
          <w:szCs w:val="52"/>
          <w:highlight w:val="none"/>
          <w:lang w:val="zh-CN" w:bidi="zh-CN"/>
        </w:rPr>
      </w:pPr>
      <w:r>
        <w:rPr>
          <w:rFonts w:hint="eastAsia" w:ascii="方正小标宋简体" w:hAnsi="方正小标宋简体" w:eastAsia="方正小标宋简体" w:cs="方正小标宋简体"/>
          <w:bCs/>
          <w:kern w:val="0"/>
          <w:sz w:val="52"/>
          <w:szCs w:val="52"/>
          <w:highlight w:val="none"/>
          <w:lang w:val="zh-CN" w:bidi="zh-CN"/>
        </w:rPr>
        <w:t>省际联盟</w:t>
      </w:r>
      <w:r>
        <w:rPr>
          <w:rFonts w:hint="eastAsia" w:ascii="方正小标宋简体" w:hAnsi="方正小标宋简体" w:eastAsia="方正小标宋简体" w:cs="方正小标宋简体"/>
          <w:bCs/>
          <w:kern w:val="0"/>
          <w:sz w:val="52"/>
          <w:szCs w:val="52"/>
          <w:highlight w:val="none"/>
          <w:lang w:bidi="zh-CN"/>
        </w:rPr>
        <w:t>缝合线等5类医用耗材</w:t>
      </w:r>
    </w:p>
    <w:p>
      <w:pPr>
        <w:jc w:val="center"/>
        <w:rPr>
          <w:rFonts w:ascii="方正小标宋简体" w:hAnsi="方正小标宋简体" w:eastAsia="方正小标宋简体" w:cs="方正小标宋简体"/>
          <w:bCs/>
          <w:kern w:val="0"/>
          <w:sz w:val="52"/>
          <w:szCs w:val="52"/>
          <w:highlight w:val="none"/>
          <w:lang w:val="zh-CN" w:bidi="zh-CN"/>
        </w:rPr>
      </w:pPr>
      <w:r>
        <w:rPr>
          <w:rFonts w:hint="eastAsia" w:ascii="方正小标宋简体" w:hAnsi="方正小标宋简体" w:eastAsia="方正小标宋简体" w:cs="方正小标宋简体"/>
          <w:bCs/>
          <w:kern w:val="0"/>
          <w:sz w:val="52"/>
          <w:szCs w:val="52"/>
          <w:highlight w:val="none"/>
          <w:lang w:val="zh-CN" w:bidi="zh-CN"/>
        </w:rPr>
        <w:t>集中带量采购文件</w:t>
      </w:r>
    </w:p>
    <w:p>
      <w:pPr>
        <w:pStyle w:val="20"/>
        <w:rPr>
          <w:color w:val="auto"/>
          <w:highlight w:val="none"/>
        </w:rPr>
      </w:pPr>
    </w:p>
    <w:p>
      <w:pPr>
        <w:widowControl/>
        <w:jc w:val="center"/>
        <w:rPr>
          <w:rFonts w:ascii="CESI仿宋-GB2312" w:hAnsi="CESI仿宋-GB2312" w:eastAsia="CESI仿宋-GB2312" w:cs="CESI仿宋-GB2312"/>
          <w:kern w:val="0"/>
          <w:sz w:val="36"/>
          <w:szCs w:val="36"/>
          <w:highlight w:val="none"/>
          <w:shd w:val="clear" w:color="auto" w:fill="FFFFFF"/>
        </w:rPr>
      </w:pPr>
    </w:p>
    <w:p>
      <w:pPr>
        <w:widowControl/>
        <w:jc w:val="center"/>
        <w:rPr>
          <w:rFonts w:ascii="CESI仿宋-GB2312" w:hAnsi="CESI仿宋-GB2312" w:eastAsia="CESI仿宋-GB2312" w:cs="CESI仿宋-GB2312"/>
          <w:kern w:val="0"/>
          <w:sz w:val="36"/>
          <w:szCs w:val="36"/>
          <w:highlight w:val="none"/>
          <w:shd w:val="clear" w:color="auto" w:fill="FFFFFF"/>
        </w:rPr>
      </w:pPr>
    </w:p>
    <w:p>
      <w:pPr>
        <w:widowControl/>
        <w:jc w:val="center"/>
        <w:rPr>
          <w:rFonts w:ascii="楷体" w:hAnsi="楷体" w:eastAsia="楷体" w:cs="CESI仿宋-GB2312"/>
          <w:kern w:val="0"/>
          <w:sz w:val="36"/>
          <w:szCs w:val="36"/>
          <w:highlight w:val="none"/>
          <w:shd w:val="clear" w:color="auto" w:fill="FFFFFF"/>
        </w:rPr>
      </w:pPr>
    </w:p>
    <w:p>
      <w:pPr>
        <w:widowControl/>
        <w:jc w:val="center"/>
        <w:rPr>
          <w:rFonts w:ascii="楷体" w:hAnsi="楷体" w:eastAsia="楷体" w:cs="CESI仿宋-GB2312"/>
          <w:kern w:val="0"/>
          <w:sz w:val="36"/>
          <w:szCs w:val="36"/>
          <w:highlight w:val="none"/>
          <w:shd w:val="clear" w:color="auto" w:fill="FFFFFF"/>
        </w:rPr>
      </w:pPr>
      <w:r>
        <w:rPr>
          <w:rFonts w:hint="eastAsia" w:ascii="楷体" w:hAnsi="楷体" w:eastAsia="楷体" w:cs="CESI仿宋-GB2312"/>
          <w:kern w:val="0"/>
          <w:sz w:val="36"/>
          <w:szCs w:val="36"/>
          <w:highlight w:val="none"/>
          <w:shd w:val="clear" w:color="auto" w:fill="FFFFFF"/>
        </w:rPr>
        <w:t>采购文件编号：SJLM-24-HC2025-1</w:t>
      </w:r>
    </w:p>
    <w:p>
      <w:pPr>
        <w:widowControl/>
        <w:rPr>
          <w:rFonts w:ascii="黑体" w:hAnsi="黑体" w:eastAsia="黑体" w:cs="黑体"/>
          <w:kern w:val="0"/>
          <w:sz w:val="36"/>
          <w:szCs w:val="36"/>
          <w:highlight w:val="none"/>
          <w:shd w:val="clear" w:color="auto" w:fill="FFFFFF"/>
        </w:rPr>
      </w:pPr>
    </w:p>
    <w:p>
      <w:pPr>
        <w:widowControl/>
        <w:rPr>
          <w:rFonts w:ascii="黑体" w:hAnsi="黑体" w:eastAsia="黑体" w:cs="黑体"/>
          <w:kern w:val="0"/>
          <w:sz w:val="36"/>
          <w:szCs w:val="36"/>
          <w:highlight w:val="none"/>
          <w:shd w:val="clear" w:color="auto" w:fill="FFFFFF"/>
        </w:rPr>
      </w:pPr>
    </w:p>
    <w:p>
      <w:pPr>
        <w:widowControl/>
        <w:rPr>
          <w:rFonts w:ascii="黑体" w:hAnsi="黑体" w:eastAsia="黑体" w:cs="黑体"/>
          <w:kern w:val="0"/>
          <w:sz w:val="36"/>
          <w:szCs w:val="36"/>
          <w:highlight w:val="none"/>
          <w:shd w:val="clear" w:color="auto" w:fill="FFFFFF"/>
        </w:rPr>
      </w:pPr>
    </w:p>
    <w:p>
      <w:pPr>
        <w:widowControl/>
        <w:jc w:val="center"/>
        <w:rPr>
          <w:rFonts w:ascii="黑体" w:hAnsi="黑体" w:eastAsia="黑体" w:cs="黑体"/>
          <w:kern w:val="0"/>
          <w:sz w:val="36"/>
          <w:szCs w:val="36"/>
          <w:highlight w:val="none"/>
          <w:shd w:val="clear" w:color="auto" w:fill="FFFFFF"/>
        </w:rPr>
      </w:pPr>
    </w:p>
    <w:p>
      <w:pPr>
        <w:widowControl/>
        <w:jc w:val="center"/>
        <w:rPr>
          <w:rFonts w:ascii="黑体" w:hAnsi="黑体" w:eastAsia="黑体" w:cs="黑体"/>
          <w:kern w:val="0"/>
          <w:sz w:val="36"/>
          <w:szCs w:val="36"/>
          <w:highlight w:val="none"/>
          <w:shd w:val="clear" w:color="auto" w:fill="FFFFFF"/>
        </w:rPr>
      </w:pPr>
    </w:p>
    <w:p>
      <w:pPr>
        <w:widowControl/>
        <w:jc w:val="center"/>
        <w:rPr>
          <w:rFonts w:ascii="黑体" w:hAnsi="黑体" w:eastAsia="黑体" w:cs="黑体"/>
          <w:kern w:val="0"/>
          <w:sz w:val="36"/>
          <w:szCs w:val="36"/>
          <w:highlight w:val="none"/>
          <w:shd w:val="clear" w:color="auto" w:fill="FFFFFF"/>
        </w:rPr>
      </w:pPr>
    </w:p>
    <w:p>
      <w:pPr>
        <w:widowControl/>
        <w:jc w:val="center"/>
        <w:rPr>
          <w:rFonts w:ascii="黑体" w:hAnsi="黑体" w:eastAsia="黑体" w:cs="黑体"/>
          <w:kern w:val="0"/>
          <w:sz w:val="36"/>
          <w:szCs w:val="36"/>
          <w:highlight w:val="none"/>
          <w:shd w:val="clear" w:color="auto" w:fill="FFFFFF"/>
        </w:rPr>
      </w:pPr>
    </w:p>
    <w:p>
      <w:pPr>
        <w:widowControl/>
        <w:jc w:val="center"/>
        <w:rPr>
          <w:rFonts w:ascii="黑体" w:hAnsi="黑体" w:eastAsia="黑体" w:cs="黑体"/>
          <w:kern w:val="0"/>
          <w:sz w:val="36"/>
          <w:szCs w:val="36"/>
          <w:highlight w:val="none"/>
          <w:shd w:val="clear" w:color="auto" w:fill="FFFFFF"/>
        </w:rPr>
      </w:pPr>
    </w:p>
    <w:p>
      <w:pPr>
        <w:widowControl/>
        <w:jc w:val="center"/>
        <w:rPr>
          <w:rFonts w:ascii="黑体" w:hAnsi="黑体" w:eastAsia="黑体" w:cs="黑体"/>
          <w:kern w:val="0"/>
          <w:sz w:val="36"/>
          <w:szCs w:val="36"/>
          <w:highlight w:val="none"/>
          <w:shd w:val="clear" w:color="auto" w:fill="FFFFFF"/>
        </w:rPr>
      </w:pPr>
    </w:p>
    <w:p>
      <w:pPr>
        <w:widowControl/>
        <w:jc w:val="center"/>
        <w:rPr>
          <w:rFonts w:ascii="方正小标宋简体" w:hAnsi="方正小标宋简体" w:eastAsia="方正小标宋简体" w:cs="方正小标宋简体"/>
          <w:kern w:val="0"/>
          <w:sz w:val="36"/>
          <w:szCs w:val="36"/>
          <w:highlight w:val="none"/>
          <w:shd w:val="clear" w:color="auto" w:fill="FFFFFF"/>
        </w:rPr>
      </w:pPr>
      <w:r>
        <w:rPr>
          <w:rFonts w:hint="eastAsia" w:ascii="方正小标宋简体" w:hAnsi="方正小标宋简体" w:eastAsia="方正小标宋简体" w:cs="方正小标宋简体"/>
          <w:kern w:val="0"/>
          <w:sz w:val="36"/>
          <w:szCs w:val="36"/>
          <w:highlight w:val="none"/>
          <w:shd w:val="clear" w:color="auto" w:fill="FFFFFF"/>
        </w:rPr>
        <w:t>省际联盟采购领导小组</w:t>
      </w:r>
    </w:p>
    <w:p>
      <w:pPr>
        <w:widowControl/>
        <w:jc w:val="center"/>
        <w:rPr>
          <w:rFonts w:ascii="方正小标宋简体" w:hAnsi="方正小标宋简体" w:eastAsia="方正小标宋简体" w:cs="方正小标宋简体"/>
          <w:kern w:val="0"/>
          <w:sz w:val="36"/>
          <w:szCs w:val="36"/>
          <w:highlight w:val="none"/>
          <w:shd w:val="clear" w:color="auto" w:fill="FFFFFF"/>
        </w:rPr>
      </w:pPr>
      <w:r>
        <w:rPr>
          <w:rFonts w:hint="eastAsia" w:ascii="方正小标宋简体" w:hAnsi="方正小标宋简体" w:eastAsia="方正小标宋简体" w:cs="方正小标宋简体"/>
          <w:kern w:val="0"/>
          <w:sz w:val="36"/>
          <w:szCs w:val="36"/>
          <w:highlight w:val="none"/>
          <w:shd w:val="clear" w:color="auto" w:fill="FFFFFF"/>
        </w:rPr>
        <w:t>2025年9月</w:t>
      </w:r>
    </w:p>
    <w:p>
      <w:pPr>
        <w:widowControl/>
        <w:shd w:val="clear" w:color="auto" w:fill="FFFFFF"/>
        <w:spacing w:before="313" w:after="313"/>
        <w:rPr>
          <w:rFonts w:ascii="黑体" w:hAnsi="黑体" w:eastAsia="黑体" w:cs="黑体"/>
          <w:b/>
          <w:bCs/>
          <w:kern w:val="0"/>
          <w:sz w:val="52"/>
          <w:szCs w:val="52"/>
          <w:highlight w:val="none"/>
          <w:shd w:val="clear" w:color="auto" w:fill="FFFFFF"/>
        </w:rPr>
        <w:sectPr>
          <w:footerReference r:id="rId3" w:type="default"/>
          <w:pgSz w:w="11906" w:h="16838"/>
          <w:pgMar w:top="2098" w:right="1474" w:bottom="1985" w:left="1588" w:header="851" w:footer="992" w:gutter="0"/>
          <w:pgNumType w:fmt="decimal" w:start="1"/>
          <w:cols w:space="425" w:num="1"/>
          <w:docGrid w:type="lines" w:linePitch="312" w:charSpace="0"/>
        </w:sectPr>
      </w:pPr>
      <w:bookmarkStart w:id="0" w:name="_Toc1311605102"/>
      <w:bookmarkEnd w:id="0"/>
    </w:p>
    <w:p>
      <w:pPr>
        <w:pStyle w:val="20"/>
        <w:rPr>
          <w:color w:val="auto"/>
          <w:highlight w:val="none"/>
        </w:rPr>
      </w:pPr>
    </w:p>
    <w:p>
      <w:pPr>
        <w:widowControl/>
        <w:shd w:val="clear" w:color="auto" w:fill="FFFFFF"/>
        <w:spacing w:before="313" w:after="313"/>
        <w:jc w:val="center"/>
        <w:rPr>
          <w:rFonts w:ascii="黑体" w:hAnsi="黑体" w:eastAsia="黑体" w:cs="黑体"/>
          <w:b/>
          <w:bCs/>
          <w:kern w:val="0"/>
          <w:sz w:val="52"/>
          <w:szCs w:val="52"/>
          <w:highlight w:val="none"/>
          <w:shd w:val="clear" w:color="auto" w:fill="FFFFFF"/>
        </w:rPr>
      </w:pPr>
    </w:p>
    <w:p>
      <w:pPr>
        <w:widowControl/>
        <w:shd w:val="clear" w:color="auto" w:fill="FFFFFF"/>
        <w:spacing w:before="313" w:after="313"/>
        <w:rPr>
          <w:rFonts w:ascii="黑体" w:hAnsi="黑体" w:eastAsia="黑体" w:cs="黑体"/>
          <w:b/>
          <w:bCs/>
          <w:kern w:val="0"/>
          <w:sz w:val="52"/>
          <w:szCs w:val="52"/>
          <w:highlight w:val="none"/>
          <w:shd w:val="clear" w:color="auto" w:fill="FFFFFF"/>
        </w:rPr>
      </w:pPr>
    </w:p>
    <w:p>
      <w:pPr>
        <w:widowControl/>
        <w:shd w:val="clear" w:color="auto" w:fill="FFFFFF"/>
        <w:spacing w:before="313" w:after="313"/>
        <w:jc w:val="center"/>
        <w:rPr>
          <w:rFonts w:ascii="方正小标宋简体" w:hAnsi="方正小标宋简体" w:eastAsia="方正小标宋简体" w:cs="方正小标宋简体"/>
          <w:b/>
          <w:bCs/>
          <w:kern w:val="0"/>
          <w:sz w:val="52"/>
          <w:szCs w:val="52"/>
          <w:highlight w:val="none"/>
          <w:shd w:val="clear" w:color="auto" w:fill="FFFFFF"/>
        </w:rPr>
      </w:pPr>
    </w:p>
    <w:p>
      <w:pPr>
        <w:widowControl/>
        <w:shd w:val="clear" w:color="auto" w:fill="FFFFFF"/>
        <w:spacing w:before="313" w:after="313"/>
        <w:jc w:val="center"/>
        <w:rPr>
          <w:rFonts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kern w:val="0"/>
          <w:sz w:val="52"/>
          <w:szCs w:val="52"/>
          <w:highlight w:val="none"/>
          <w:shd w:val="clear" w:color="auto" w:fill="FFFFFF"/>
        </w:rPr>
        <w:t>第一部分 采购邀请</w:t>
      </w:r>
    </w:p>
    <w:p>
      <w:pPr>
        <w:jc w:val="center"/>
        <w:rPr>
          <w:rFonts w:ascii="仿宋" w:hAnsi="仿宋" w:eastAsia="仿宋" w:cs="仿宋"/>
          <w:kern w:val="0"/>
          <w:sz w:val="32"/>
          <w:szCs w:val="32"/>
          <w:highlight w:val="none"/>
          <w:shd w:val="clear" w:color="auto" w:fill="FFFFFF"/>
        </w:rPr>
      </w:pPr>
      <w:r>
        <w:rPr>
          <w:rFonts w:hint="eastAsia" w:ascii="仿宋" w:hAnsi="仿宋" w:eastAsia="仿宋" w:cs="仿宋"/>
          <w:kern w:val="0"/>
          <w:sz w:val="32"/>
          <w:szCs w:val="32"/>
          <w:highlight w:val="none"/>
          <w:shd w:val="clear" w:color="auto" w:fill="FFFFFF"/>
        </w:rPr>
        <w:br w:type="page"/>
      </w:r>
    </w:p>
    <w:p>
      <w:pPr>
        <w:spacing w:line="560" w:lineRule="exact"/>
        <w:jc w:val="center"/>
        <w:rPr>
          <w:rFonts w:ascii="方正小标宋简体" w:hAnsi="方正小标宋简体" w:eastAsia="方正小标宋简体" w:cs="方正小标宋简体"/>
          <w:bCs/>
          <w:kern w:val="0"/>
          <w:sz w:val="44"/>
          <w:szCs w:val="44"/>
          <w:highlight w:val="none"/>
          <w:lang w:bidi="zh-CN"/>
        </w:rPr>
      </w:pPr>
      <w:r>
        <w:rPr>
          <w:rFonts w:hint="eastAsia" w:ascii="方正小标宋简体" w:hAnsi="方正小标宋简体" w:eastAsia="方正小标宋简体" w:cs="方正小标宋简体"/>
          <w:bCs/>
          <w:kern w:val="0"/>
          <w:sz w:val="44"/>
          <w:szCs w:val="44"/>
          <w:highlight w:val="none"/>
          <w:lang w:bidi="zh-CN"/>
        </w:rPr>
        <w:t>省际联盟缝合线等5类医用耗材集中</w:t>
      </w:r>
    </w:p>
    <w:p>
      <w:pPr>
        <w:spacing w:line="560" w:lineRule="exact"/>
        <w:jc w:val="center"/>
        <w:rPr>
          <w:rFonts w:ascii="方正小标宋简体" w:hAnsi="方正小标宋简体" w:eastAsia="方正小标宋简体" w:cs="方正小标宋简体"/>
          <w:bCs/>
          <w:kern w:val="0"/>
          <w:sz w:val="44"/>
          <w:szCs w:val="44"/>
          <w:highlight w:val="none"/>
          <w:lang w:bidi="zh-CN"/>
        </w:rPr>
      </w:pPr>
      <w:r>
        <w:rPr>
          <w:rFonts w:hint="eastAsia" w:ascii="方正小标宋简体" w:hAnsi="方正小标宋简体" w:eastAsia="方正小标宋简体" w:cs="方正小标宋简体"/>
          <w:bCs/>
          <w:kern w:val="0"/>
          <w:sz w:val="44"/>
          <w:szCs w:val="44"/>
          <w:highlight w:val="none"/>
          <w:lang w:bidi="zh-CN"/>
        </w:rPr>
        <w:t>带量采购邀请函</w:t>
      </w:r>
    </w:p>
    <w:p>
      <w:pPr>
        <w:spacing w:line="560" w:lineRule="exact"/>
        <w:jc w:val="center"/>
        <w:rPr>
          <w:rFonts w:ascii="楷体" w:hAnsi="楷体" w:eastAsia="楷体" w:cs="CESI仿宋-GB2312"/>
          <w:kern w:val="0"/>
          <w:sz w:val="32"/>
          <w:szCs w:val="32"/>
          <w:highlight w:val="none"/>
          <w:shd w:val="clear" w:color="auto" w:fill="FFFFFF"/>
        </w:rPr>
      </w:pPr>
      <w:r>
        <w:rPr>
          <w:rFonts w:hint="eastAsia" w:ascii="楷体" w:hAnsi="楷体" w:eastAsia="楷体" w:cs="CESI仿宋-GB2312"/>
          <w:kern w:val="0"/>
          <w:sz w:val="32"/>
          <w:szCs w:val="32"/>
          <w:highlight w:val="none"/>
          <w:shd w:val="clear" w:color="auto" w:fill="FFFFFF"/>
        </w:rPr>
        <w:t>（编号：SJLM-24-HC2025-1）</w:t>
      </w:r>
    </w:p>
    <w:p>
      <w:pPr>
        <w:pStyle w:val="20"/>
        <w:spacing w:line="560" w:lineRule="exact"/>
        <w:ind w:firstLine="640" w:firstLineChars="200"/>
        <w:jc w:val="both"/>
        <w:rPr>
          <w:rFonts w:ascii="Times New Roman" w:hAnsi="Times New Roman" w:eastAsia="仿宋_GB2312" w:cs="Times New Roman"/>
          <w:color w:val="auto"/>
          <w:kern w:val="2"/>
          <w:sz w:val="32"/>
          <w:szCs w:val="32"/>
          <w:highlight w:val="none"/>
        </w:rPr>
      </w:pPr>
    </w:p>
    <w:p>
      <w:pPr>
        <w:pStyle w:val="20"/>
        <w:spacing w:line="56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rPr>
        <w:t>按照《国务院办公厅关于印发治理高值医用耗材改革方案的通知》（国办发〔2019〕37号）、《关于开展国家组织高值医用耗材集中带量采购和使用的指导意见》（医保发〔2021〕31号）等文件精神和国家医疗保障局关于加强区域协同做好医药集中采购提质扩面的具体要求，由辽宁省医疗保障局牵头，天津市、河北省、山西省、内蒙古自治区、吉林省、黑龙江省、安徽省、江西省、河南省、湖北省、广西壮族自治区、海南省、重庆市、四川省、贵州省、云南省、西藏自治区、陕西省、甘肃省、青海省、宁夏回族自治区、新疆维吾尔</w:t>
      </w:r>
      <w:r>
        <w:rPr>
          <w:rFonts w:hint="eastAsia" w:ascii="Times New Roman" w:hAnsi="Times New Roman" w:eastAsia="仿宋_GB2312" w:cs="Times New Roman"/>
          <w:color w:val="auto"/>
          <w:sz w:val="32"/>
          <w:szCs w:val="32"/>
          <w:highlight w:val="none"/>
        </w:rPr>
        <w:t>自治区、新疆生产建设兵团组成24省（市、区、兵团）采购联盟，成立省际联盟缝合线等5类医用耗材集中带量采购工作领导小组（简称“省际联盟采购领导小组”），代表联盟地区公立医疗机构（含军队医疗机构）及自愿参加的医保定点社会办医疗机构开展医用耗材</w:t>
      </w:r>
      <w:r>
        <w:rPr>
          <w:rFonts w:hint="eastAsia" w:ascii="Times New Roman" w:hAnsi="Times New Roman" w:eastAsia="仿宋_GB2312" w:cs="Times New Roman"/>
          <w:color w:val="auto"/>
          <w:kern w:val="2"/>
          <w:sz w:val="32"/>
          <w:szCs w:val="32"/>
          <w:highlight w:val="none"/>
        </w:rPr>
        <w:t>集中带量采购。日常工作和具体实施由辽阳市医疗保障局承担。</w:t>
      </w:r>
      <w:r>
        <w:rPr>
          <w:rFonts w:hint="eastAsia" w:ascii="Times New Roman" w:hAnsi="Times New Roman" w:eastAsia="仿宋_GB2312" w:cs="Times New Roman"/>
          <w:color w:val="auto"/>
          <w:sz w:val="32"/>
          <w:szCs w:val="32"/>
          <w:highlight w:val="none"/>
        </w:rPr>
        <w:t>现邀请符合条件的企业积极参与。</w:t>
      </w:r>
    </w:p>
    <w:p>
      <w:pPr>
        <w:pStyle w:val="4"/>
        <w:numPr>
          <w:ilvl w:val="0"/>
          <w:numId w:val="1"/>
        </w:numPr>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采购范围</w:t>
      </w:r>
    </w:p>
    <w:p>
      <w:pPr>
        <w:pStyle w:val="4"/>
        <w:spacing w:line="560" w:lineRule="exact"/>
        <w:ind w:firstLine="640" w:firstLineChars="200"/>
        <w:rPr>
          <w:rFonts w:ascii="楷体" w:hAnsi="楷体" w:eastAsia="楷体" w:cs="CESI仿宋-GB2312"/>
          <w:b w:val="0"/>
          <w:highlight w:val="none"/>
        </w:rPr>
      </w:pPr>
      <w:r>
        <w:rPr>
          <w:rFonts w:hint="eastAsia" w:ascii="楷体" w:hAnsi="楷体" w:eastAsia="楷体" w:cs="CESI仿宋-GB2312"/>
          <w:b w:val="0"/>
          <w:highlight w:val="none"/>
        </w:rPr>
        <w:t>（一）采购产品</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本次集采的缝合线、注射器（带针）、泵用输液器、吸氧管、真空采血管（含静脉血样采集针）5类医用耗材，管理类别不包括第一类产品，具体如下：</w:t>
      </w:r>
    </w:p>
    <w:p>
      <w:pPr>
        <w:spacing w:line="560" w:lineRule="exact"/>
        <w:ind w:firstLine="640" w:firstLineChars="200"/>
        <w:rPr>
          <w:rFonts w:eastAsia="仿宋_GB2312"/>
          <w:b/>
          <w:bCs/>
          <w:sz w:val="32"/>
          <w:szCs w:val="32"/>
          <w:highlight w:val="none"/>
        </w:rPr>
      </w:pPr>
      <w:r>
        <w:rPr>
          <w:rFonts w:hint="eastAsia" w:eastAsia="仿宋_GB2312"/>
          <w:b/>
          <w:bCs/>
          <w:sz w:val="32"/>
          <w:szCs w:val="32"/>
          <w:highlight w:val="none"/>
        </w:rPr>
        <w:t>1.缝合线</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1）可吸收缝合线：通常由动物来源组织材料或各种非动物来源单体材料聚合（或多单体共聚）制成可降解吸收的缝合线。缝合线表面可有涂层，分为带针和不带针两种。无菌提供，一次性使用。用于体内软组织、器官和/或皮肤的缝合和/或结扎。归属《医疗器械分类目录》子目录“02 无源手术器械”，一级产品分组为“13 手术器械-吻（缝）合器械及材料”，二级产品分组为“06.1 可吸收缝合线”、“06.2 可吸收缝合线”，管理类别为第三类。包括但不限于国家医保耗材分类代码前10位为C140803185、C140804185的产品。不包括预期用于骨结合的缝线。</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2）不可吸收缝合线：通常由聚合材料（或金属材料）制成不可降解吸收的缝合线。缝合线表面可有涂层，分为带针和不带针两种。无菌提供，一次性使用。用于软组织、器官和/或皮肤的缝合。归属《医疗器械分类目录》子目录“02 无源手术器械”，一级产品分组为“13 手术器械-吻（缝）合器械及材料”，二级产品分组为“07.1 不可吸收缝合线”、“07.2不可吸收缝合线”，管理类别为第二类、第三类。包括但不限于国家医保耗材分类代码前10位为C140801184、C140802184的产品。不包括预期用于骨结合的缝线、运动医学类修复用缝合线。</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b/>
          <w:bCs/>
          <w:sz w:val="32"/>
          <w:szCs w:val="32"/>
          <w:highlight w:val="none"/>
        </w:rPr>
        <w:t>2.注射器（带针）：</w:t>
      </w:r>
      <w:r>
        <w:rPr>
          <w:rFonts w:hint="eastAsia" w:eastAsia="仿宋_GB2312"/>
          <w:sz w:val="32"/>
          <w:szCs w:val="32"/>
          <w:highlight w:val="none"/>
        </w:rPr>
        <w:t>通常由器身、锥头、活塞和芯杆组成。器身一般采用高分子材料制成，活塞一般采用天然橡胶制成。无菌提供，一次性使用。用于抽吸液体或注入液体后注射，泵用注射器包括无针规格。归属《医疗器械分类目录》子目录“14 注输、护理和防护器械”，一级产品分组为“02 血管内输液器械”，二级产品分组为“12 药液用转移、配药器具”，管理类别为第二类；归属同一子目录下，一级产品分组为“01 注射、穿刺器械”，二级产品分组为“02 无菌注射器”，管理类别为第三类。包括但不限于国家医保耗材分类代码前15位为C16010110200003的产品。不包括胰岛素注射器、疫苗注射器。</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说明：无菌注射器常规规格1ml、2ml或2.5ml、5ml、10ml，其中5ml必须申报；溶药注射器常规规格10ml、20ml或30ml、50ml或60ml，其中20ml或30ml必须申报；泵用注射器50m或60ml必须申报（可申报无针规格）；无芯杆溶药注射器20ml或30ml必须申报。</w:t>
      </w:r>
    </w:p>
    <w:p>
      <w:pPr>
        <w:widowControl/>
        <w:shd w:val="clear" w:color="auto" w:fill="FFFFFF"/>
        <w:spacing w:line="560" w:lineRule="exact"/>
        <w:ind w:firstLine="640" w:firstLineChars="200"/>
        <w:jc w:val="left"/>
        <w:rPr>
          <w:rFonts w:eastAsia="仿宋_GB2312"/>
          <w:sz w:val="32"/>
          <w:szCs w:val="32"/>
          <w:highlight w:val="none"/>
        </w:rPr>
      </w:pPr>
      <w:r>
        <w:rPr>
          <w:rFonts w:hint="eastAsia" w:eastAsia="仿宋_GB2312"/>
          <w:b/>
          <w:bCs/>
          <w:sz w:val="32"/>
          <w:szCs w:val="32"/>
          <w:highlight w:val="none"/>
        </w:rPr>
        <w:t>3.泵用输液器：</w:t>
      </w:r>
      <w:r>
        <w:rPr>
          <w:rFonts w:hint="eastAsia" w:eastAsia="仿宋_GB2312"/>
          <w:sz w:val="32"/>
          <w:szCs w:val="32"/>
          <w:highlight w:val="none"/>
        </w:rPr>
        <w:t>通常由鲁尔圆锥接头、管路、滴斗、流量调节器、瓶塞穿刺器、药液过滤器等组成，部分带有空气过滤器的进气件、药液注射件。管路一般由聚氯乙烯或其他材料制成，其设计能在压力作用下，将输液容器中的药液通过静脉穿刺器械输入静脉。无菌提供，一次性使用。用于静脉输注药液。归属《医疗器械分类目录》子目录“14 注输、护理和防护器械”，一级产品分组为“02 血管内输液器械”，二级产品分组为“05 输液器”，管理类别为第三类。包括但不限于国家医保耗材分类代码前7位为C142301的产品。</w:t>
      </w:r>
    </w:p>
    <w:p>
      <w:pPr>
        <w:spacing w:line="560" w:lineRule="exact"/>
        <w:ind w:firstLine="640" w:firstLineChars="200"/>
        <w:rPr>
          <w:rFonts w:eastAsia="仿宋_GB2312"/>
          <w:sz w:val="32"/>
          <w:szCs w:val="32"/>
          <w:highlight w:val="none"/>
        </w:rPr>
      </w:pPr>
      <w:r>
        <w:rPr>
          <w:rFonts w:hint="eastAsia" w:eastAsia="仿宋_GB2312"/>
          <w:b/>
          <w:bCs/>
          <w:sz w:val="32"/>
          <w:szCs w:val="32"/>
          <w:highlight w:val="none"/>
        </w:rPr>
        <w:t>4.吸氧管：</w:t>
      </w:r>
      <w:r>
        <w:rPr>
          <w:rFonts w:hint="eastAsia" w:eastAsia="仿宋_GB2312"/>
          <w:sz w:val="32"/>
          <w:szCs w:val="32"/>
          <w:highlight w:val="none"/>
        </w:rPr>
        <w:t>通常由进氧接口、氧气软管、调节环、鼻塞等组成，鼻氧管与输氧系统连接，供患者吸入氧气使用。一次性使用。用于吸氧时氧源与吸氧者之间的氧气直接输送或湿化后输送。归属《医疗器械分类目录》子目录“08 呼吸、麻醉和急救器械”，一级产品分组为“06 呼吸、麻醉用管路、面罩”，二级产品分组为“08.1 鼻氧管”，管理类别为第二类。包括但不限于国家医保耗材分类代码前15位为C14020226600013的产品。不包括特殊功能吸氧管。</w:t>
      </w:r>
    </w:p>
    <w:p>
      <w:pPr>
        <w:spacing w:line="560" w:lineRule="exact"/>
        <w:ind w:firstLine="640" w:firstLineChars="200"/>
        <w:rPr>
          <w:rFonts w:eastAsia="仿宋_GB2312"/>
          <w:sz w:val="32"/>
          <w:szCs w:val="32"/>
          <w:highlight w:val="none"/>
        </w:rPr>
      </w:pPr>
      <w:r>
        <w:rPr>
          <w:rFonts w:eastAsia="仿宋_GB2312"/>
          <w:sz w:val="32"/>
          <w:szCs w:val="32"/>
          <w:highlight w:val="none"/>
        </w:rPr>
        <w:t>说明：吸氧管至少申报一个管长≥1.2米的规格。湿化瓶至少申报一个装量≥100ml的规格。</w:t>
      </w:r>
    </w:p>
    <w:p>
      <w:pPr>
        <w:spacing w:line="560" w:lineRule="exact"/>
        <w:ind w:firstLine="640" w:firstLineChars="200"/>
        <w:rPr>
          <w:rFonts w:eastAsia="仿宋_GB2312"/>
          <w:b/>
          <w:bCs/>
          <w:sz w:val="32"/>
          <w:szCs w:val="32"/>
          <w:highlight w:val="none"/>
        </w:rPr>
      </w:pPr>
      <w:r>
        <w:rPr>
          <w:rFonts w:hint="eastAsia" w:eastAsia="仿宋_GB2312"/>
          <w:b/>
          <w:bCs/>
          <w:sz w:val="32"/>
          <w:szCs w:val="32"/>
          <w:highlight w:val="none"/>
        </w:rPr>
        <w:t>5.真空采血管（含静脉血样采集针）</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1）真空采血管：通常由管和头盖组成，管材一般由PET（聚对苯二甲酸乙二醇酯）或玻璃管制成，管内壁附着或不附着添加剂或附加物。一次性使用。与一次性使用采血针配合使用，用于人体静脉血的收集、运输、存储。归属《医疗器械分类目录》子目录“22 临床检验器械”，一级产品分组为“11采样设备和器具”，二级产品分组为“04静脉血样采血管”，管理类别为第二类。包括但不限于国家医保耗材分类代码前10位为C142302203的产品</w:t>
      </w:r>
      <w:r>
        <w:rPr>
          <w:rFonts w:hint="eastAsia" w:ascii="宋体" w:hAnsi="宋体" w:cs="宋体"/>
          <w:sz w:val="32"/>
          <w:szCs w:val="32"/>
          <w:highlight w:val="none"/>
        </w:rPr>
        <w:t>。</w:t>
      </w:r>
      <w:r>
        <w:rPr>
          <w:rFonts w:hint="eastAsia" w:eastAsia="仿宋_GB2312"/>
          <w:sz w:val="32"/>
          <w:szCs w:val="32"/>
          <w:highlight w:val="none"/>
        </w:rPr>
        <w:t>不包括末梢采血管、末梢血采集容器、特殊采血管或保存制备管、非真空采血管。</w:t>
      </w:r>
    </w:p>
    <w:p>
      <w:pPr>
        <w:spacing w:line="560" w:lineRule="exact"/>
        <w:ind w:firstLine="640" w:firstLineChars="200"/>
        <w:jc w:val="left"/>
        <w:rPr>
          <w:rFonts w:eastAsia="仿宋_GB2312"/>
          <w:sz w:val="32"/>
          <w:szCs w:val="32"/>
          <w:highlight w:val="none"/>
        </w:rPr>
      </w:pPr>
      <w:r>
        <w:rPr>
          <w:rFonts w:hint="eastAsia" w:eastAsia="仿宋_GB2312"/>
          <w:sz w:val="32"/>
          <w:szCs w:val="32"/>
          <w:highlight w:val="none"/>
        </w:rPr>
        <w:t>说明：常规规格血清管（橘红色/红色头盖）、柠檬酸钠（枸橼酸钠）凝血试验管（蓝色头盖）、EDTA抗凝管（紫色头盖）、分离胶促凝管（黄色头盖）、肝素抗凝管（绿色头盖）、柠檬酸钠（枸橼酸钠）血沉试验管（黑色头盖）、氟化钠管（灰色头盖）。</w:t>
      </w:r>
    </w:p>
    <w:p>
      <w:pPr>
        <w:widowControl/>
        <w:spacing w:line="560" w:lineRule="exact"/>
        <w:ind w:firstLine="640" w:firstLineChars="200"/>
        <w:rPr>
          <w:highlight w:val="none"/>
        </w:rPr>
      </w:pPr>
      <w:r>
        <w:rPr>
          <w:rFonts w:hint="eastAsia" w:eastAsia="仿宋_GB2312"/>
          <w:sz w:val="32"/>
          <w:szCs w:val="32"/>
          <w:highlight w:val="none"/>
        </w:rPr>
        <w:t>（2）静脉血样采集针：通常由静脉采血针、保护套和其他部件组成。无菌提供，一次性使用。适用于采集静脉血样。归属《医疗器械分类目录》子目录“22 临床检验器械”，一级产品分组为“11采样设备和器具”，二级产品分组为“01.1 动静脉采血针及连接件”，管理类别为第三类。包括但不限于国家医保耗材分类代码前15位为C16030621500002 的产品。不包括安全静脉采血针、末梢采血器、动脉血气针、机用采血器、足跟采血器。</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（二）采购主体</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联盟地区公立医疗机构（含军队医疗机构）均应参加。鼓励医保定点社会办医疗机构参加。参与的医疗机构统一执行联盟集中带量采购相关规定和采购结果。</w:t>
      </w:r>
    </w:p>
    <w:p>
      <w:pPr>
        <w:pStyle w:val="4"/>
        <w:numPr>
          <w:ilvl w:val="0"/>
          <w:numId w:val="1"/>
        </w:numPr>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采购产品协议采购量、产品分组和最高有效申报价格</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（一）协议采购量</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以联盟地区医疗机构申报采购需求量的90%作为协议采购量（数量非整数时四舍五入取整，下同），数据信息以联盟地区医疗机构申报的有效数据为准。</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（二）产品分组</w:t>
      </w:r>
    </w:p>
    <w:p>
      <w:pPr>
        <w:pStyle w:val="20"/>
        <w:spacing w:line="560" w:lineRule="exact"/>
        <w:ind w:firstLine="640" w:firstLineChars="20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依据企业维护信息和医疗机构填报历史采购信息进行论证，形成缝合线等5类产品分组，具体如下：</w:t>
      </w:r>
    </w:p>
    <w:p>
      <w:pPr>
        <w:pStyle w:val="20"/>
        <w:spacing w:line="560" w:lineRule="exact"/>
        <w:ind w:firstLine="640" w:firstLineChars="20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bCs/>
          <w:color w:val="auto"/>
          <w:kern w:val="2"/>
          <w:sz w:val="32"/>
          <w:szCs w:val="32"/>
          <w:highlight w:val="none"/>
        </w:rPr>
        <w:t>1.缝合线</w:t>
      </w:r>
      <w:r>
        <w:rPr>
          <w:rFonts w:hint="eastAsia" w:ascii="Times New Roman" w:hAnsi="Times New Roman" w:eastAsia="仿宋_GB2312" w:cs="Times New Roman"/>
          <w:color w:val="auto"/>
          <w:kern w:val="2"/>
          <w:sz w:val="32"/>
          <w:szCs w:val="32"/>
          <w:highlight w:val="none"/>
        </w:rPr>
        <w:t>：根据材料、功能或用途等分为8个产品分组，协议采购量共计6068.80万根，具体组别详见表-1。</w:t>
      </w:r>
    </w:p>
    <w:p>
      <w:pPr>
        <w:pStyle w:val="20"/>
        <w:spacing w:line="560" w:lineRule="exact"/>
        <w:jc w:val="center"/>
        <w:rPr>
          <w:rFonts w:ascii="Times New Roman" w:hAnsi="Times New Roman" w:eastAsia="仿宋_GB2312" w:cs="Times New Roman"/>
          <w:color w:val="auto"/>
          <w:kern w:val="2"/>
          <w:highlight w:val="none"/>
        </w:rPr>
      </w:pPr>
      <w:r>
        <w:rPr>
          <w:rFonts w:hint="eastAsia" w:ascii="Times New Roman" w:hAnsi="Times New Roman" w:eastAsia="仿宋_GB2312" w:cs="Times New Roman"/>
          <w:color w:val="auto"/>
          <w:kern w:val="2"/>
          <w:highlight w:val="none"/>
        </w:rPr>
        <w:t>表-1</w:t>
      </w:r>
    </w:p>
    <w:tbl>
      <w:tblPr>
        <w:tblStyle w:val="13"/>
        <w:tblW w:w="8801" w:type="dxa"/>
        <w:jc w:val="center"/>
        <w:tblLayout w:type="fixed"/>
        <w:tblCellMar>
          <w:top w:w="0" w:type="dxa"/>
          <w:left w:w="108" w:type="dxa"/>
          <w:bottom w:w="0" w:type="dxa"/>
          <w:right w:w="108" w:type="dxa"/>
        </w:tblCellMar>
      </w:tblPr>
      <w:tblGrid>
        <w:gridCol w:w="645"/>
        <w:gridCol w:w="3751"/>
        <w:gridCol w:w="3525"/>
        <w:gridCol w:w="880"/>
      </w:tblGrid>
      <w:tr>
        <w:tblPrEx>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分组序号</w:t>
            </w:r>
          </w:p>
        </w:tc>
        <w:tc>
          <w:tcPr>
            <w:tcW w:w="375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352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联盟地区</w:t>
            </w:r>
          </w:p>
        </w:tc>
        <w:tc>
          <w:tcPr>
            <w:tcW w:w="8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339"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w:t>
            </w:r>
          </w:p>
        </w:tc>
        <w:tc>
          <w:tcPr>
            <w:tcW w:w="37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1可吸收缝合线、天然材质</w:t>
            </w:r>
          </w:p>
        </w:tc>
        <w:tc>
          <w:tcPr>
            <w:tcW w:w="3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天津市、河北省、山西省、内蒙古自治区、辽宁省、吉林省、黑龙江省、安徽省、江西省、河南省、湖北省、广西壮族自治区、海南省、重庆市、四川省、贵州省、云南省、西藏自治区、陕西省、甘肃省、青海省、宁夏回族自治区、新疆维吾尔自治区、新疆生产建设兵团。</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3" w:hRule="atLeast"/>
          <w:jc w:val="center"/>
        </w:trPr>
        <w:tc>
          <w:tcPr>
            <w:tcW w:w="6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w:t>
            </w:r>
          </w:p>
        </w:tc>
        <w:tc>
          <w:tcPr>
            <w:tcW w:w="3751"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2可吸收缝合线、合成材质</w:t>
            </w: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w:t>
            </w:r>
          </w:p>
        </w:tc>
        <w:tc>
          <w:tcPr>
            <w:tcW w:w="375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3可吸收缝合线、合成材质、免打结</w:t>
            </w: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textAlignment w:val="center"/>
              <w:rPr>
                <w:rFonts w:ascii="仿宋" w:hAnsi="仿宋" w:eastAsia="仿宋" w:cs="仿宋"/>
                <w:kern w:val="0"/>
                <w:sz w:val="20"/>
                <w:szCs w:val="20"/>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4</w:t>
            </w:r>
          </w:p>
        </w:tc>
        <w:tc>
          <w:tcPr>
            <w:tcW w:w="375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4不可吸收缝合线、合成材质</w:t>
            </w: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textAlignment w:val="center"/>
              <w:rPr>
                <w:rFonts w:ascii="仿宋" w:hAnsi="仿宋" w:eastAsia="仿宋" w:cs="仿宋"/>
                <w:kern w:val="0"/>
                <w:sz w:val="20"/>
                <w:szCs w:val="20"/>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5</w:t>
            </w:r>
          </w:p>
        </w:tc>
        <w:tc>
          <w:tcPr>
            <w:tcW w:w="375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5不可吸收缝合线、合成材质、免打结</w:t>
            </w: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textAlignment w:val="center"/>
              <w:rPr>
                <w:rFonts w:ascii="仿宋" w:hAnsi="仿宋" w:eastAsia="仿宋" w:cs="仿宋"/>
                <w:kern w:val="0"/>
                <w:sz w:val="20"/>
                <w:szCs w:val="20"/>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6</w:t>
            </w:r>
          </w:p>
        </w:tc>
        <w:tc>
          <w:tcPr>
            <w:tcW w:w="375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6不可吸收缝合线、不锈钢材质</w:t>
            </w: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textAlignment w:val="center"/>
              <w:rPr>
                <w:rFonts w:ascii="仿宋" w:hAnsi="仿宋" w:eastAsia="仿宋" w:cs="仿宋"/>
                <w:kern w:val="0"/>
                <w:sz w:val="20"/>
                <w:szCs w:val="20"/>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rPr>
                <w:rFonts w:ascii="仿宋" w:hAnsi="仿宋" w:eastAsia="仿宋" w:cs="仿宋"/>
                <w:kern w:val="0"/>
                <w:sz w:val="20"/>
                <w:szCs w:val="20"/>
                <w:highlight w:val="none"/>
              </w:rPr>
            </w:pPr>
          </w:p>
        </w:tc>
      </w:tr>
      <w:tr>
        <w:tblPrEx>
          <w:tblCellMar>
            <w:top w:w="0" w:type="dxa"/>
            <w:left w:w="108" w:type="dxa"/>
            <w:bottom w:w="0" w:type="dxa"/>
            <w:right w:w="108" w:type="dxa"/>
          </w:tblCellMar>
        </w:tblPrEx>
        <w:trPr>
          <w:trHeight w:val="33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7</w:t>
            </w:r>
          </w:p>
        </w:tc>
        <w:tc>
          <w:tcPr>
            <w:tcW w:w="375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7不可吸收缝合线、钛合金材质</w:t>
            </w: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textAlignment w:val="center"/>
              <w:rPr>
                <w:rFonts w:ascii="仿宋" w:hAnsi="仿宋" w:eastAsia="仿宋" w:cs="仿宋"/>
                <w:kern w:val="0"/>
                <w:sz w:val="20"/>
                <w:szCs w:val="20"/>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rPr>
                <w:rFonts w:ascii="仿宋" w:hAnsi="仿宋" w:eastAsia="仿宋" w:cs="仿宋"/>
                <w:kern w:val="0"/>
                <w:sz w:val="20"/>
                <w:szCs w:val="20"/>
                <w:highlight w:val="none"/>
              </w:rPr>
            </w:pPr>
          </w:p>
        </w:tc>
      </w:tr>
      <w:tr>
        <w:tblPrEx>
          <w:tblCellMar>
            <w:top w:w="0" w:type="dxa"/>
            <w:left w:w="108" w:type="dxa"/>
            <w:bottom w:w="0" w:type="dxa"/>
            <w:right w:w="108" w:type="dxa"/>
          </w:tblCellMar>
        </w:tblPrEx>
        <w:trPr>
          <w:trHeight w:val="2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8</w:t>
            </w:r>
          </w:p>
        </w:tc>
        <w:tc>
          <w:tcPr>
            <w:tcW w:w="375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8不可吸收缝合线、金属材质、免打结</w:t>
            </w: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textAlignment w:val="center"/>
              <w:rPr>
                <w:rFonts w:ascii="仿宋" w:hAnsi="仿宋" w:eastAsia="仿宋" w:cs="仿宋"/>
                <w:kern w:val="0"/>
                <w:sz w:val="20"/>
                <w:szCs w:val="20"/>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rPr>
                <w:rFonts w:ascii="仿宋" w:hAnsi="仿宋" w:eastAsia="仿宋" w:cs="仿宋"/>
                <w:kern w:val="0"/>
                <w:sz w:val="20"/>
                <w:szCs w:val="20"/>
                <w:highlight w:val="none"/>
              </w:rPr>
            </w:pPr>
          </w:p>
        </w:tc>
      </w:tr>
    </w:tbl>
    <w:p>
      <w:pPr>
        <w:pStyle w:val="20"/>
        <w:spacing w:line="560" w:lineRule="exact"/>
        <w:ind w:firstLine="640" w:firstLineChars="20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bCs/>
          <w:color w:val="auto"/>
          <w:kern w:val="2"/>
          <w:sz w:val="32"/>
          <w:szCs w:val="32"/>
          <w:highlight w:val="none"/>
        </w:rPr>
        <w:t>2.注射器（带针）：</w:t>
      </w:r>
      <w:r>
        <w:rPr>
          <w:rFonts w:hint="eastAsia" w:ascii="Times New Roman" w:hAnsi="Times New Roman" w:eastAsia="仿宋_GB2312" w:cs="Times New Roman"/>
          <w:color w:val="auto"/>
          <w:kern w:val="2"/>
          <w:sz w:val="32"/>
          <w:szCs w:val="32"/>
          <w:highlight w:val="none"/>
        </w:rPr>
        <w:t>根据材料、功能或用途等分为5个产品分组，协议采购量共计218733.68万支，具体组别详见表-2。</w:t>
      </w:r>
    </w:p>
    <w:p>
      <w:pPr>
        <w:pStyle w:val="20"/>
        <w:spacing w:line="560" w:lineRule="exact"/>
        <w:jc w:val="center"/>
        <w:rPr>
          <w:rFonts w:ascii="Times New Roman" w:hAnsi="Times New Roman" w:eastAsia="仿宋_GB2312" w:cs="Times New Roman"/>
          <w:color w:val="auto"/>
          <w:kern w:val="2"/>
          <w:highlight w:val="none"/>
        </w:rPr>
      </w:pPr>
    </w:p>
    <w:p>
      <w:pPr>
        <w:pStyle w:val="20"/>
        <w:spacing w:line="560" w:lineRule="exact"/>
        <w:jc w:val="center"/>
        <w:rPr>
          <w:rFonts w:ascii="Times New Roman" w:hAnsi="Times New Roman" w:eastAsia="仿宋_GB2312" w:cs="Times New Roman"/>
          <w:color w:val="auto"/>
          <w:kern w:val="2"/>
          <w:highlight w:val="none"/>
        </w:rPr>
      </w:pPr>
    </w:p>
    <w:p>
      <w:pPr>
        <w:pStyle w:val="20"/>
        <w:spacing w:line="560" w:lineRule="exact"/>
        <w:jc w:val="center"/>
        <w:rPr>
          <w:rFonts w:ascii="Times New Roman" w:hAnsi="Times New Roman" w:eastAsia="仿宋_GB2312" w:cs="Times New Roman"/>
          <w:color w:val="auto"/>
          <w:kern w:val="2"/>
          <w:highlight w:val="none"/>
        </w:rPr>
      </w:pPr>
      <w:r>
        <w:rPr>
          <w:rFonts w:hint="eastAsia" w:ascii="Times New Roman" w:hAnsi="Times New Roman" w:eastAsia="仿宋_GB2312" w:cs="Times New Roman"/>
          <w:color w:val="auto"/>
          <w:kern w:val="2"/>
          <w:highlight w:val="none"/>
        </w:rPr>
        <w:t>表-2</w:t>
      </w:r>
    </w:p>
    <w:tbl>
      <w:tblPr>
        <w:tblStyle w:val="13"/>
        <w:tblW w:w="8921" w:type="dxa"/>
        <w:jc w:val="center"/>
        <w:tblLayout w:type="fixed"/>
        <w:tblCellMar>
          <w:top w:w="0" w:type="dxa"/>
          <w:left w:w="108" w:type="dxa"/>
          <w:bottom w:w="0" w:type="dxa"/>
          <w:right w:w="108" w:type="dxa"/>
        </w:tblCellMar>
      </w:tblPr>
      <w:tblGrid>
        <w:gridCol w:w="749"/>
        <w:gridCol w:w="2611"/>
        <w:gridCol w:w="3941"/>
        <w:gridCol w:w="1620"/>
      </w:tblGrid>
      <w:tr>
        <w:tblPrEx>
          <w:tblCellMar>
            <w:top w:w="0" w:type="dxa"/>
            <w:left w:w="108" w:type="dxa"/>
            <w:bottom w:w="0" w:type="dxa"/>
            <w:right w:w="108" w:type="dxa"/>
          </w:tblCellMar>
        </w:tblPrEx>
        <w:trPr>
          <w:trHeight w:val="50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分组序号</w:t>
            </w:r>
          </w:p>
        </w:tc>
        <w:tc>
          <w:tcPr>
            <w:tcW w:w="261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394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联盟地区</w:t>
            </w:r>
          </w:p>
        </w:tc>
        <w:tc>
          <w:tcPr>
            <w:tcW w:w="16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395" w:hRule="atLeast"/>
          <w:jc w:val="center"/>
        </w:trPr>
        <w:tc>
          <w:tcPr>
            <w:tcW w:w="7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9</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9注射器（带针）、各种类型、各种规格</w:t>
            </w:r>
          </w:p>
        </w:tc>
        <w:tc>
          <w:tcPr>
            <w:tcW w:w="3941"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天津市、山西省、内蒙古自治区、辽宁省、吉林省、黑龙江省、安徽省、江西省、河南省、湖北省、广西壮族自治区、海南省、重庆市、四川省、贵州省、云南省、西藏自治区、陕西省、甘肃省、青海省、宁夏回族自治区、新疆维吾尔自治区、新疆生产建设兵团。</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无菌注射器和溶药注射器</w:t>
            </w:r>
          </w:p>
        </w:tc>
      </w:tr>
      <w:tr>
        <w:tblPrEx>
          <w:tblCellMar>
            <w:top w:w="0" w:type="dxa"/>
            <w:left w:w="108" w:type="dxa"/>
            <w:bottom w:w="0" w:type="dxa"/>
            <w:right w:w="108" w:type="dxa"/>
          </w:tblCellMar>
        </w:tblPrEx>
        <w:trPr>
          <w:trHeight w:val="300" w:hRule="atLeast"/>
          <w:jc w:val="center"/>
        </w:trPr>
        <w:tc>
          <w:tcPr>
            <w:tcW w:w="7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10避光注射器（带针）、各种类型、各种规格</w:t>
            </w:r>
          </w:p>
        </w:tc>
        <w:tc>
          <w:tcPr>
            <w:tcW w:w="3941" w:type="dxa"/>
            <w:vMerge w:val="continue"/>
            <w:tcBorders>
              <w:left w:val="single" w:color="auto" w:sz="4" w:space="0"/>
              <w:right w:val="single" w:color="auto" w:sz="4" w:space="0"/>
            </w:tcBorders>
            <w:shd w:val="clear" w:color="auto" w:fill="auto"/>
            <w:noWrap/>
            <w:vAlign w:val="center"/>
          </w:tcPr>
          <w:p>
            <w:pPr>
              <w:widowControl/>
              <w:spacing w:line="260" w:lineRule="exact"/>
              <w:textAlignment w:val="center"/>
              <w:rPr>
                <w:rFonts w:ascii="仿宋" w:hAnsi="仿宋" w:eastAsia="仿宋" w:cs="仿宋"/>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30" w:hRule="atLeast"/>
          <w:jc w:val="center"/>
        </w:trPr>
        <w:tc>
          <w:tcPr>
            <w:tcW w:w="7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11</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11泵用注射器、各种类型、各种规格</w:t>
            </w:r>
          </w:p>
        </w:tc>
        <w:tc>
          <w:tcPr>
            <w:tcW w:w="3941" w:type="dxa"/>
            <w:vMerge w:val="continue"/>
            <w:tcBorders>
              <w:left w:val="single" w:color="auto" w:sz="4" w:space="0"/>
              <w:right w:val="single" w:color="auto" w:sz="4" w:space="0"/>
            </w:tcBorders>
            <w:shd w:val="clear" w:color="auto" w:fill="auto"/>
            <w:noWrap/>
            <w:vAlign w:val="center"/>
          </w:tcPr>
          <w:p>
            <w:pPr>
              <w:widowControl/>
              <w:spacing w:line="260" w:lineRule="exact"/>
              <w:textAlignment w:val="center"/>
              <w:rPr>
                <w:rFonts w:ascii="仿宋" w:hAnsi="仿宋" w:eastAsia="仿宋" w:cs="仿宋"/>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90" w:hRule="atLeast"/>
          <w:jc w:val="center"/>
        </w:trPr>
        <w:tc>
          <w:tcPr>
            <w:tcW w:w="7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12</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12避光泵用注射器、各种类型、各种规格</w:t>
            </w:r>
          </w:p>
        </w:tc>
        <w:tc>
          <w:tcPr>
            <w:tcW w:w="3941" w:type="dxa"/>
            <w:vMerge w:val="continue"/>
            <w:tcBorders>
              <w:left w:val="single" w:color="auto" w:sz="4" w:space="0"/>
              <w:right w:val="single" w:color="auto" w:sz="4" w:space="0"/>
            </w:tcBorders>
            <w:shd w:val="clear" w:color="auto" w:fill="auto"/>
            <w:noWrap/>
            <w:vAlign w:val="center"/>
          </w:tcPr>
          <w:p>
            <w:pPr>
              <w:widowControl/>
              <w:spacing w:line="260" w:lineRule="exact"/>
              <w:textAlignment w:val="center"/>
              <w:rPr>
                <w:rFonts w:ascii="仿宋" w:hAnsi="仿宋" w:eastAsia="仿宋" w:cs="仿宋"/>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05" w:hRule="atLeast"/>
          <w:jc w:val="center"/>
        </w:trPr>
        <w:tc>
          <w:tcPr>
            <w:tcW w:w="7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13</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13无芯杆溶药注射器、各种类型、各种规格</w:t>
            </w:r>
          </w:p>
        </w:tc>
        <w:tc>
          <w:tcPr>
            <w:tcW w:w="3941"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60" w:lineRule="exact"/>
              <w:textAlignment w:val="center"/>
              <w:rPr>
                <w:rFonts w:ascii="仿宋" w:hAnsi="仿宋" w:eastAsia="仿宋" w:cs="仿宋"/>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宋体" w:hAnsi="宋体" w:cs="宋体"/>
                <w:sz w:val="22"/>
                <w:szCs w:val="22"/>
                <w:highlight w:val="none"/>
              </w:rPr>
            </w:pPr>
          </w:p>
        </w:tc>
      </w:tr>
    </w:tbl>
    <w:p>
      <w:pPr>
        <w:pStyle w:val="20"/>
        <w:spacing w:line="560" w:lineRule="exact"/>
        <w:ind w:firstLine="640" w:firstLineChars="20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bCs/>
          <w:color w:val="auto"/>
          <w:kern w:val="2"/>
          <w:sz w:val="32"/>
          <w:szCs w:val="32"/>
          <w:highlight w:val="none"/>
        </w:rPr>
        <w:t>3.泵用输液器</w:t>
      </w:r>
      <w:r>
        <w:rPr>
          <w:rFonts w:hint="eastAsia" w:ascii="Times New Roman" w:hAnsi="Times New Roman" w:eastAsia="仿宋_GB2312" w:cs="Times New Roman"/>
          <w:color w:val="auto"/>
          <w:kern w:val="2"/>
          <w:sz w:val="32"/>
          <w:szCs w:val="32"/>
          <w:highlight w:val="none"/>
        </w:rPr>
        <w:t>：根据材料、功能或用途等分为2个产品分组，协议采购量共计254.93万支，具体组别详见表-3。</w:t>
      </w:r>
    </w:p>
    <w:p>
      <w:pPr>
        <w:pStyle w:val="20"/>
        <w:spacing w:line="560" w:lineRule="exact"/>
        <w:jc w:val="center"/>
        <w:rPr>
          <w:rFonts w:ascii="Times New Roman" w:hAnsi="Times New Roman" w:eastAsia="仿宋_GB2312" w:cs="Times New Roman"/>
          <w:color w:val="auto"/>
          <w:kern w:val="2"/>
          <w:highlight w:val="none"/>
        </w:rPr>
      </w:pPr>
      <w:r>
        <w:rPr>
          <w:rFonts w:hint="eastAsia" w:ascii="Times New Roman" w:hAnsi="Times New Roman" w:eastAsia="仿宋_GB2312" w:cs="Times New Roman"/>
          <w:color w:val="auto"/>
          <w:kern w:val="2"/>
          <w:highlight w:val="none"/>
        </w:rPr>
        <w:t>表-3</w:t>
      </w:r>
    </w:p>
    <w:tbl>
      <w:tblPr>
        <w:tblStyle w:val="13"/>
        <w:tblW w:w="8870" w:type="dxa"/>
        <w:jc w:val="center"/>
        <w:tblLayout w:type="fixed"/>
        <w:tblCellMar>
          <w:top w:w="0" w:type="dxa"/>
          <w:left w:w="108" w:type="dxa"/>
          <w:bottom w:w="0" w:type="dxa"/>
          <w:right w:w="108" w:type="dxa"/>
        </w:tblCellMar>
      </w:tblPr>
      <w:tblGrid>
        <w:gridCol w:w="630"/>
        <w:gridCol w:w="3011"/>
        <w:gridCol w:w="3819"/>
        <w:gridCol w:w="1410"/>
      </w:tblGrid>
      <w:tr>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分组序号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3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联盟地区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924" w:hRule="atLeast"/>
          <w:jc w:val="center"/>
        </w:trPr>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14</w:t>
            </w:r>
          </w:p>
        </w:tc>
        <w:tc>
          <w:tcPr>
            <w:tcW w:w="301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14泵用普通输液器、各种规格、各种针型</w:t>
            </w:r>
          </w:p>
        </w:tc>
        <w:tc>
          <w:tcPr>
            <w:tcW w:w="3819"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天津市、河北省、山西省、内蒙古自治区、辽宁省、吉林省、黑龙江省、安徽省、河南省、湖北省、广西壮族自治区、海南省、重庆市、四川省、贵州省、云南省、西藏自治区、陕西省、甘肃省、青海省、宁夏回族自治区、新疆维吾尔自治区、新疆生产建设兵团。</w:t>
            </w:r>
          </w:p>
        </w:tc>
        <w:tc>
          <w:tcPr>
            <w:tcW w:w="14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1046" w:hRule="atLeast"/>
          <w:jc w:val="center"/>
        </w:trPr>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15</w:t>
            </w:r>
          </w:p>
        </w:tc>
        <w:tc>
          <w:tcPr>
            <w:tcW w:w="301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15泵用精密输液器、各种规格、各种针型</w:t>
            </w:r>
          </w:p>
        </w:tc>
        <w:tc>
          <w:tcPr>
            <w:tcW w:w="381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p>
        </w:tc>
        <w:tc>
          <w:tcPr>
            <w:tcW w:w="141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rPr>
                <w:rFonts w:ascii="宋体" w:hAnsi="宋体" w:cs="宋体"/>
                <w:sz w:val="22"/>
                <w:szCs w:val="22"/>
                <w:highlight w:val="none"/>
              </w:rPr>
            </w:pPr>
          </w:p>
        </w:tc>
      </w:tr>
    </w:tbl>
    <w:p>
      <w:pPr>
        <w:spacing w:line="560" w:lineRule="exact"/>
        <w:ind w:firstLine="640" w:firstLineChars="200"/>
        <w:rPr>
          <w:rFonts w:eastAsia="仿宋_GB2312"/>
          <w:sz w:val="32"/>
          <w:szCs w:val="32"/>
          <w:highlight w:val="none"/>
        </w:rPr>
      </w:pPr>
      <w:r>
        <w:rPr>
          <w:rFonts w:hint="eastAsia" w:eastAsia="仿宋_GB2312"/>
          <w:b/>
          <w:bCs/>
          <w:sz w:val="32"/>
          <w:szCs w:val="32"/>
          <w:highlight w:val="none"/>
        </w:rPr>
        <w:t>4.吸氧管：</w:t>
      </w:r>
      <w:r>
        <w:rPr>
          <w:rFonts w:hint="eastAsia" w:eastAsia="仿宋_GB2312"/>
          <w:sz w:val="32"/>
          <w:szCs w:val="32"/>
          <w:highlight w:val="none"/>
        </w:rPr>
        <w:t>根据材料、功能或用途等分为2个产品分组，协议采购量共计6283.02万根，具体组别详见表-4。</w:t>
      </w:r>
    </w:p>
    <w:p>
      <w:pPr>
        <w:pStyle w:val="20"/>
        <w:jc w:val="center"/>
        <w:rPr>
          <w:rFonts w:ascii="Times New Roman" w:hAnsi="Times New Roman" w:eastAsia="仿宋_GB2312" w:cs="Times New Roman"/>
          <w:color w:val="auto"/>
          <w:kern w:val="2"/>
          <w:highlight w:val="none"/>
        </w:rPr>
      </w:pPr>
      <w:r>
        <w:rPr>
          <w:rFonts w:hint="eastAsia" w:ascii="Times New Roman" w:hAnsi="Times New Roman" w:eastAsia="仿宋_GB2312" w:cs="Times New Roman"/>
          <w:color w:val="auto"/>
          <w:kern w:val="2"/>
          <w:highlight w:val="none"/>
        </w:rPr>
        <w:t>表-4</w:t>
      </w:r>
    </w:p>
    <w:tbl>
      <w:tblPr>
        <w:tblStyle w:val="13"/>
        <w:tblW w:w="8846" w:type="dxa"/>
        <w:jc w:val="center"/>
        <w:tblLayout w:type="fixed"/>
        <w:tblCellMar>
          <w:top w:w="0" w:type="dxa"/>
          <w:left w:w="108" w:type="dxa"/>
          <w:bottom w:w="0" w:type="dxa"/>
          <w:right w:w="108" w:type="dxa"/>
        </w:tblCellMar>
      </w:tblPr>
      <w:tblGrid>
        <w:gridCol w:w="675"/>
        <w:gridCol w:w="2448"/>
        <w:gridCol w:w="4283"/>
        <w:gridCol w:w="1440"/>
      </w:tblGrid>
      <w:tr>
        <w:tblPrEx>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分组序号</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4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联盟地区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729" w:hRule="atLeast"/>
          <w:jc w:val="center"/>
        </w:trPr>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16</w:t>
            </w:r>
          </w:p>
        </w:tc>
        <w:tc>
          <w:tcPr>
            <w:tcW w:w="244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16不带湿化瓶吸氧管</w:t>
            </w:r>
          </w:p>
        </w:tc>
        <w:tc>
          <w:tcPr>
            <w:tcW w:w="4283"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河北省、山西省、内蒙古自治区、辽宁省、吉林省、黑龙江省、安徽省、江西省、湖北省、广西壮族自治区、海南省、重庆市、四川省、贵州省、云南省、西藏自治区、陕西省、甘肃省、青海省、宁夏回族自治区、新疆维吾尔自治区、新疆生产建设兵团。</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894" w:hRule="atLeast"/>
          <w:jc w:val="center"/>
        </w:trPr>
        <w:tc>
          <w:tcPr>
            <w:tcW w:w="67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17</w:t>
            </w:r>
          </w:p>
        </w:tc>
        <w:tc>
          <w:tcPr>
            <w:tcW w:w="244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17带湿化瓶吸氧管</w:t>
            </w:r>
          </w:p>
        </w:tc>
        <w:tc>
          <w:tcPr>
            <w:tcW w:w="428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p>
        </w:tc>
        <w:tc>
          <w:tcPr>
            <w:tcW w:w="144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rPr>
                <w:rFonts w:ascii="宋体" w:hAnsi="宋体" w:cs="宋体"/>
                <w:sz w:val="22"/>
                <w:szCs w:val="22"/>
                <w:highlight w:val="none"/>
              </w:rPr>
            </w:pPr>
          </w:p>
        </w:tc>
      </w:tr>
    </w:tbl>
    <w:p>
      <w:pPr>
        <w:spacing w:line="560" w:lineRule="exact"/>
        <w:ind w:firstLine="640" w:firstLineChars="200"/>
        <w:rPr>
          <w:rFonts w:eastAsia="仿宋_GB2312"/>
          <w:sz w:val="32"/>
          <w:szCs w:val="32"/>
          <w:highlight w:val="none"/>
        </w:rPr>
      </w:pPr>
      <w:r>
        <w:rPr>
          <w:rFonts w:hint="eastAsia" w:eastAsia="仿宋_GB2312"/>
          <w:b/>
          <w:bCs/>
          <w:sz w:val="32"/>
          <w:szCs w:val="32"/>
          <w:highlight w:val="none"/>
        </w:rPr>
        <w:t>5.真空采血管（含静脉血样采集针）：</w:t>
      </w:r>
      <w:r>
        <w:rPr>
          <w:rFonts w:hint="eastAsia" w:eastAsia="仿宋_GB2312"/>
          <w:sz w:val="32"/>
          <w:szCs w:val="32"/>
          <w:highlight w:val="none"/>
        </w:rPr>
        <w:t>根据材料、功能或用途等分为4个产品分组，真空采血管协议采购量共计94964.00万支，静脉血样采集针协议采购量28216.17万支，具体组别详见表-5。</w:t>
      </w:r>
    </w:p>
    <w:p>
      <w:pPr>
        <w:pStyle w:val="20"/>
        <w:spacing w:line="560" w:lineRule="exact"/>
        <w:jc w:val="center"/>
        <w:rPr>
          <w:rFonts w:ascii="Times New Roman" w:hAnsi="Times New Roman" w:eastAsia="仿宋_GB2312" w:cs="Times New Roman"/>
          <w:color w:val="auto"/>
          <w:kern w:val="2"/>
          <w:highlight w:val="none"/>
        </w:rPr>
      </w:pPr>
      <w:r>
        <w:rPr>
          <w:rFonts w:hint="eastAsia" w:ascii="Times New Roman" w:hAnsi="Times New Roman" w:eastAsia="仿宋_GB2312" w:cs="Times New Roman"/>
          <w:color w:val="auto"/>
          <w:kern w:val="2"/>
          <w:highlight w:val="none"/>
        </w:rPr>
        <w:t>表-5</w:t>
      </w:r>
    </w:p>
    <w:tbl>
      <w:tblPr>
        <w:tblStyle w:val="13"/>
        <w:tblW w:w="8882" w:type="dxa"/>
        <w:jc w:val="center"/>
        <w:tblLayout w:type="fixed"/>
        <w:tblCellMar>
          <w:top w:w="0" w:type="dxa"/>
          <w:left w:w="108" w:type="dxa"/>
          <w:bottom w:w="0" w:type="dxa"/>
          <w:right w:w="108" w:type="dxa"/>
        </w:tblCellMar>
      </w:tblPr>
      <w:tblGrid>
        <w:gridCol w:w="705"/>
        <w:gridCol w:w="3294"/>
        <w:gridCol w:w="3492"/>
        <w:gridCol w:w="1391"/>
      </w:tblGrid>
      <w:tr>
        <w:tblPrEx>
          <w:tblCellMar>
            <w:top w:w="0" w:type="dxa"/>
            <w:left w:w="108" w:type="dxa"/>
            <w:bottom w:w="0" w:type="dxa"/>
            <w:right w:w="108" w:type="dxa"/>
          </w:tblCellMar>
        </w:tblPrEx>
        <w:trPr>
          <w:trHeight w:val="6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分组序号</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3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联盟地区</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rPr>
          <w:trHeight w:val="9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18</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18真空采血管、玻璃、各种规格、各种型号</w:t>
            </w:r>
          </w:p>
        </w:tc>
        <w:tc>
          <w:tcPr>
            <w:tcW w:w="3492"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天津市、山西省、内蒙古自治区、辽宁省、吉林省、黑龙江省、安徽省、湖北省、广西壮族自治区、海南省、重庆市、四川省、云南省、西藏自治区、陕西省、甘肃省（不参加静脉血样采集针）、青海省、宁夏回族自治区。</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19</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19真空采血管、PET（聚对苯二甲酸乙二醇酯）、各种规格、各种型号</w:t>
            </w:r>
          </w:p>
        </w:tc>
        <w:tc>
          <w:tcPr>
            <w:tcW w:w="3492" w:type="dxa"/>
            <w:vMerge w:val="continue"/>
            <w:tcBorders>
              <w:left w:val="single" w:color="000000"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cs="宋体"/>
                <w:sz w:val="22"/>
                <w:szCs w:val="22"/>
                <w:highlight w:val="none"/>
              </w:rPr>
            </w:pPr>
          </w:p>
        </w:tc>
      </w:tr>
      <w:tr>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20</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20静脉血样采集针、软连接、各种规格、各种型号</w:t>
            </w:r>
          </w:p>
        </w:tc>
        <w:tc>
          <w:tcPr>
            <w:tcW w:w="3492" w:type="dxa"/>
            <w:vMerge w:val="continue"/>
            <w:tcBorders>
              <w:left w:val="single" w:color="000000"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21</w:t>
            </w:r>
          </w:p>
        </w:tc>
        <w:tc>
          <w:tcPr>
            <w:tcW w:w="329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21静脉血样采集针、硬连接、各种规格、各种型号</w:t>
            </w:r>
          </w:p>
        </w:tc>
        <w:tc>
          <w:tcPr>
            <w:tcW w:w="3492" w:type="dxa"/>
            <w:vMerge w:val="continue"/>
            <w:tcBorders>
              <w:left w:val="single" w:color="000000" w:sz="4" w:space="0"/>
              <w:bottom w:val="single" w:color="auto"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kern w:val="0"/>
                <w:sz w:val="20"/>
                <w:szCs w:val="20"/>
                <w:highlight w:val="none"/>
              </w:rPr>
            </w:pPr>
          </w:p>
        </w:tc>
        <w:tc>
          <w:tcPr>
            <w:tcW w:w="13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rPr>
                <w:rFonts w:ascii="宋体" w:hAnsi="宋体" w:cs="宋体"/>
                <w:sz w:val="22"/>
                <w:szCs w:val="22"/>
                <w:highlight w:val="none"/>
              </w:rPr>
            </w:pPr>
          </w:p>
        </w:tc>
      </w:tr>
    </w:tbl>
    <w:p>
      <w:pPr>
        <w:spacing w:line="560" w:lineRule="exact"/>
        <w:ind w:firstLine="640" w:firstLineChars="200"/>
        <w:rPr>
          <w:rFonts w:ascii="楷体" w:hAnsi="楷体" w:eastAsia="楷体" w:cs="方正楷体_GB2312"/>
          <w:b/>
          <w:sz w:val="32"/>
          <w:szCs w:val="32"/>
          <w:highlight w:val="none"/>
        </w:rPr>
      </w:pPr>
      <w:r>
        <w:rPr>
          <w:rFonts w:hint="eastAsia" w:ascii="楷体" w:hAnsi="楷体" w:eastAsia="楷体" w:cs="方正楷体_GB2312"/>
          <w:b/>
          <w:sz w:val="32"/>
          <w:szCs w:val="32"/>
          <w:highlight w:val="none"/>
        </w:rPr>
        <w:t>（三）最高有效申报价格</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参考联盟地区现行采购价格、全国省级挂网采购价格、全国带量采购中选价格等，同时结合联盟地区实际采购情况，经专家组论证后，每个产品组分别制定的最高有效申报价格（不区分竞价分组），详见表-6。</w:t>
      </w:r>
    </w:p>
    <w:p>
      <w:pPr>
        <w:pStyle w:val="20"/>
        <w:jc w:val="center"/>
        <w:rPr>
          <w:rFonts w:ascii="Times New Roman" w:hAnsi="Times New Roman" w:eastAsia="仿宋_GB2312" w:cs="Times New Roman"/>
          <w:color w:val="auto"/>
          <w:kern w:val="2"/>
          <w:highlight w:val="none"/>
        </w:rPr>
      </w:pPr>
      <w:r>
        <w:rPr>
          <w:rFonts w:hint="eastAsia" w:ascii="Times New Roman" w:hAnsi="Times New Roman" w:eastAsia="仿宋_GB2312" w:cs="Times New Roman"/>
          <w:color w:val="auto"/>
          <w:kern w:val="2"/>
          <w:highlight w:val="none"/>
        </w:rPr>
        <w:t>表-6</w:t>
      </w:r>
    </w:p>
    <w:tbl>
      <w:tblPr>
        <w:tblStyle w:val="13"/>
        <w:tblW w:w="9403" w:type="dxa"/>
        <w:jc w:val="center"/>
        <w:tblLayout w:type="fixed"/>
        <w:tblCellMar>
          <w:top w:w="0" w:type="dxa"/>
          <w:left w:w="108" w:type="dxa"/>
          <w:bottom w:w="0" w:type="dxa"/>
          <w:right w:w="108" w:type="dxa"/>
        </w:tblCellMar>
      </w:tblPr>
      <w:tblGrid>
        <w:gridCol w:w="628"/>
        <w:gridCol w:w="1033"/>
        <w:gridCol w:w="5624"/>
        <w:gridCol w:w="1403"/>
        <w:gridCol w:w="715"/>
      </w:tblGrid>
      <w:tr>
        <w:tblPrEx>
          <w:tblCellMar>
            <w:top w:w="0" w:type="dxa"/>
            <w:left w:w="108" w:type="dxa"/>
            <w:bottom w:w="0" w:type="dxa"/>
            <w:right w:w="108" w:type="dxa"/>
          </w:tblCellMar>
        </w:tblPrEx>
        <w:trPr>
          <w:trHeight w:val="72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分组序号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采购产品</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最高有效申报价格（元/根/支/套）</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321"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w:t>
            </w:r>
          </w:p>
        </w:tc>
        <w:tc>
          <w:tcPr>
            <w:tcW w:w="103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r>
              <w:rPr>
                <w:rFonts w:hint="eastAsia" w:ascii="仿宋" w:hAnsi="仿宋" w:eastAsia="仿宋" w:cs="仿宋"/>
                <w:kern w:val="0"/>
                <w:sz w:val="20"/>
                <w:szCs w:val="20"/>
                <w:highlight w:val="none"/>
              </w:rPr>
              <w:t>缝合线</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1可吸收缝合线、天然材质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default" w:ascii="Nimbus Roman No9 L" w:hAnsi="Nimbus Roman No9 L" w:eastAsia="仿宋" w:cs="仿宋"/>
                <w:kern w:val="0"/>
                <w:sz w:val="20"/>
                <w:szCs w:val="20"/>
                <w:highlight w:val="none"/>
                <w:shd w:val="clear" w:color="auto" w:fill="FFFFFF"/>
                <w:lang w:val="en-US"/>
              </w:rPr>
            </w:pPr>
            <w:r>
              <w:rPr>
                <w:rFonts w:hint="eastAsia" w:ascii="Nimbus Roman No9 L" w:hAnsi="Nimbus Roman No9 L" w:eastAsia="仿宋" w:cs="仿宋"/>
                <w:kern w:val="0"/>
                <w:sz w:val="20"/>
                <w:szCs w:val="20"/>
                <w:highlight w:val="none"/>
                <w:shd w:val="clear" w:color="auto" w:fill="FFFFFF"/>
                <w:lang w:val="en-US" w:eastAsia="zh-CN"/>
              </w:rPr>
              <w:t>126.53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8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2可吸收缝合线、合成材质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36.70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9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3可吸收缝合线、合成材质、免打结</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267.52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4</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4不可吸收缝合线、合成材质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73.25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color w:val="E36C09" w:themeColor="accent6" w:themeShade="BF"/>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5</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5不可吸收缝合线、合成材质、免打结</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305.20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color w:val="E36C09" w:themeColor="accent6" w:themeShade="BF"/>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6</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6不可吸收缝合线、不锈钢材质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36.30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0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7</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7不可吸收缝合线、钛合金材质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142.00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0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8</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8不可吸收缝合线、金属材质、免打结</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573.80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color w:val="E36C09" w:themeColor="accent6" w:themeShade="BF"/>
                <w:sz w:val="22"/>
                <w:szCs w:val="22"/>
                <w:highlight w:val="none"/>
              </w:rPr>
            </w:pPr>
          </w:p>
        </w:tc>
      </w:tr>
      <w:tr>
        <w:tblPrEx>
          <w:tblCellMar>
            <w:top w:w="0" w:type="dxa"/>
            <w:left w:w="108" w:type="dxa"/>
            <w:bottom w:w="0" w:type="dxa"/>
            <w:right w:w="108" w:type="dxa"/>
          </w:tblCellMar>
        </w:tblPrEx>
        <w:trPr>
          <w:trHeight w:val="19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9</w:t>
            </w:r>
          </w:p>
        </w:tc>
        <w:tc>
          <w:tcPr>
            <w:tcW w:w="103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r>
              <w:rPr>
                <w:rFonts w:hint="eastAsia" w:ascii="仿宋" w:hAnsi="仿宋" w:eastAsia="仿宋" w:cs="仿宋"/>
                <w:kern w:val="0"/>
                <w:sz w:val="20"/>
                <w:szCs w:val="20"/>
                <w:highlight w:val="none"/>
              </w:rPr>
              <w:t>注射器（带针）</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9注射器（带针）、各种类型、各种规格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0.5360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10避光注射器（带针）、各种类型、各种规格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2.83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color w:val="E36C09" w:themeColor="accent6" w:themeShade="BF"/>
                <w:sz w:val="22"/>
                <w:szCs w:val="22"/>
                <w:highlight w:val="none"/>
              </w:rPr>
            </w:pPr>
          </w:p>
        </w:tc>
      </w:tr>
      <w:tr>
        <w:tblPrEx>
          <w:tblCellMar>
            <w:top w:w="0" w:type="dxa"/>
            <w:left w:w="108" w:type="dxa"/>
            <w:bottom w:w="0" w:type="dxa"/>
            <w:right w:w="108" w:type="dxa"/>
          </w:tblCellMar>
        </w:tblPrEx>
        <w:trPr>
          <w:trHeight w:val="1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11</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11泵用注射器、各种类型、各种规格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4.51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3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12</w:t>
            </w:r>
          </w:p>
        </w:tc>
        <w:tc>
          <w:tcPr>
            <w:tcW w:w="1033" w:type="dxa"/>
            <w:vMerge w:val="continue"/>
            <w:tcBorders>
              <w:left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12避光泵用注射器、各种类型、各种规格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6.80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1"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13</w:t>
            </w:r>
          </w:p>
        </w:tc>
        <w:tc>
          <w:tcPr>
            <w:tcW w:w="103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13无芯杆溶药注射器、各种类型、各种规格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3.22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14</w:t>
            </w:r>
          </w:p>
        </w:tc>
        <w:tc>
          <w:tcPr>
            <w:tcW w:w="1033" w:type="dxa"/>
            <w:vMerge w:val="restart"/>
            <w:tcBorders>
              <w:top w:val="single" w:color="000000" w:sz="4" w:space="0"/>
              <w:left w:val="single" w:color="000000" w:sz="4" w:space="0"/>
              <w:right w:val="single" w:color="000000" w:sz="4" w:space="0"/>
            </w:tcBorders>
            <w:shd w:val="clear" w:color="auto" w:fill="auto"/>
            <w:vAlign w:val="center"/>
          </w:tcPr>
          <w:p>
            <w:pPr>
              <w:widowControl/>
              <w:tabs>
                <w:tab w:val="left" w:pos="651"/>
              </w:tabs>
              <w:spacing w:line="300" w:lineRule="exact"/>
              <w:rPr>
                <w:rFonts w:ascii="仿宋" w:hAnsi="仿宋" w:eastAsia="仿宋" w:cs="仿宋"/>
                <w:sz w:val="20"/>
                <w:szCs w:val="20"/>
                <w:highlight w:val="none"/>
              </w:rPr>
            </w:pPr>
            <w:r>
              <w:rPr>
                <w:rFonts w:hint="eastAsia" w:ascii="仿宋" w:hAnsi="仿宋" w:eastAsia="仿宋" w:cs="仿宋"/>
                <w:kern w:val="0"/>
                <w:sz w:val="20"/>
                <w:szCs w:val="20"/>
                <w:highlight w:val="none"/>
              </w:rPr>
              <w:t>泵用输液器</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14泵用普通输液器、各种规格、各种针型</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5.59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9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15</w:t>
            </w:r>
          </w:p>
        </w:tc>
        <w:tc>
          <w:tcPr>
            <w:tcW w:w="103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15泵用精密输液器、各种规格、各种针型</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7.22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16</w:t>
            </w:r>
          </w:p>
        </w:tc>
        <w:tc>
          <w:tcPr>
            <w:tcW w:w="1033" w:type="dxa"/>
            <w:vMerge w:val="restart"/>
            <w:tcBorders>
              <w:top w:val="single" w:color="000000" w:sz="4" w:space="0"/>
              <w:left w:val="single" w:color="000000" w:sz="4" w:space="0"/>
              <w:right w:val="single" w:color="000000" w:sz="4" w:space="0"/>
            </w:tcBorders>
            <w:shd w:val="clear" w:color="auto" w:fill="auto"/>
            <w:vAlign w:val="center"/>
          </w:tcPr>
          <w:p>
            <w:pPr>
              <w:widowControl/>
              <w:tabs>
                <w:tab w:val="left" w:pos="651"/>
              </w:tabs>
              <w:spacing w:line="300" w:lineRule="exact"/>
              <w:rPr>
                <w:rFonts w:ascii="仿宋" w:hAnsi="仿宋" w:eastAsia="仿宋" w:cs="仿宋"/>
                <w:sz w:val="20"/>
                <w:szCs w:val="20"/>
                <w:highlight w:val="none"/>
              </w:rPr>
            </w:pPr>
            <w:r>
              <w:rPr>
                <w:rFonts w:hint="eastAsia" w:ascii="仿宋" w:hAnsi="仿宋" w:eastAsia="仿宋" w:cs="仿宋"/>
                <w:kern w:val="0"/>
                <w:sz w:val="20"/>
                <w:szCs w:val="20"/>
                <w:highlight w:val="none"/>
              </w:rPr>
              <w:t>吸氧管</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16不带湿化瓶吸氧管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1.58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17</w:t>
            </w:r>
          </w:p>
        </w:tc>
        <w:tc>
          <w:tcPr>
            <w:tcW w:w="103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17带湿化瓶吸氧管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10.90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18</w:t>
            </w:r>
          </w:p>
        </w:tc>
        <w:tc>
          <w:tcPr>
            <w:tcW w:w="1033" w:type="dxa"/>
            <w:vMerge w:val="restart"/>
            <w:tcBorders>
              <w:left w:val="single" w:color="000000" w:sz="4" w:space="0"/>
              <w:bottom w:val="single" w:color="000000" w:sz="4" w:space="0"/>
              <w:right w:val="single" w:color="000000" w:sz="4" w:space="0"/>
            </w:tcBorders>
            <w:shd w:val="clear" w:color="auto" w:fill="auto"/>
            <w:vAlign w:val="center"/>
          </w:tcPr>
          <w:p>
            <w:pPr>
              <w:widowControl/>
              <w:tabs>
                <w:tab w:val="left" w:pos="651"/>
              </w:tabs>
              <w:spacing w:line="300" w:lineRule="exact"/>
              <w:rPr>
                <w:rFonts w:ascii="仿宋" w:hAnsi="仿宋" w:eastAsia="仿宋" w:cs="仿宋"/>
                <w:sz w:val="20"/>
                <w:szCs w:val="20"/>
                <w:highlight w:val="none"/>
              </w:rPr>
            </w:pPr>
            <w:r>
              <w:rPr>
                <w:rFonts w:hint="eastAsia" w:ascii="仿宋" w:hAnsi="仿宋" w:eastAsia="仿宋" w:cs="仿宋"/>
                <w:kern w:val="0"/>
                <w:sz w:val="20"/>
                <w:szCs w:val="20"/>
                <w:highlight w:val="none"/>
              </w:rPr>
              <w:t>真空采血管（含静脉血样采集针）</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18真空采血管、玻璃、各种规格、各种型号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0.5117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19</w:t>
            </w:r>
          </w:p>
        </w:tc>
        <w:tc>
          <w:tcPr>
            <w:tcW w:w="103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19真空采血管、PET（聚对苯二甲酸乙二醇酯）、各种规格、各种型号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0.8310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20</w:t>
            </w:r>
          </w:p>
        </w:tc>
        <w:tc>
          <w:tcPr>
            <w:tcW w:w="103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20静脉血样采集针、软连接、各种规格、各种型号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0.2883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21</w:t>
            </w:r>
          </w:p>
        </w:tc>
        <w:tc>
          <w:tcPr>
            <w:tcW w:w="103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仿宋" w:hAnsi="仿宋" w:eastAsia="仿宋" w:cs="仿宋"/>
                <w:sz w:val="20"/>
                <w:szCs w:val="20"/>
                <w:highlight w:val="none"/>
              </w:rPr>
            </w:pP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 w:hAnsi="仿宋" w:eastAsia="仿宋" w:cs="仿宋"/>
                <w:color w:val="E36C09" w:themeColor="accent6" w:themeShade="BF"/>
                <w:kern w:val="0"/>
                <w:sz w:val="20"/>
                <w:szCs w:val="20"/>
                <w:highlight w:val="none"/>
              </w:rPr>
            </w:pPr>
            <w:r>
              <w:rPr>
                <w:rFonts w:hint="eastAsia" w:ascii="仿宋" w:hAnsi="仿宋" w:eastAsia="仿宋" w:cs="仿宋"/>
                <w:kern w:val="0"/>
                <w:sz w:val="20"/>
                <w:szCs w:val="20"/>
                <w:highlight w:val="none"/>
              </w:rPr>
              <w:t>21静脉血样采集针、硬连接、各种规格、各种型号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0.4175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right"/>
              <w:rPr>
                <w:rFonts w:ascii="宋体" w:hAnsi="宋体" w:cs="宋体"/>
                <w:sz w:val="22"/>
                <w:szCs w:val="22"/>
                <w:highlight w:val="none"/>
              </w:rPr>
            </w:pPr>
          </w:p>
        </w:tc>
      </w:tr>
      <w:tr>
        <w:tblPrEx>
          <w:tblCellMar>
            <w:top w:w="0" w:type="dxa"/>
            <w:left w:w="108" w:type="dxa"/>
            <w:bottom w:w="0" w:type="dxa"/>
            <w:right w:w="108" w:type="dxa"/>
          </w:tblCellMar>
        </w:tblPrEx>
        <w:trPr>
          <w:trHeight w:val="520" w:hRule="atLeast"/>
          <w:jc w:val="center"/>
        </w:trPr>
        <w:tc>
          <w:tcPr>
            <w:tcW w:w="94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注：申报价格为确认拟中选结果过程中确认企业排名使用的数值，不是拟中选价格，拟中选价格须使用表9-1至9-5的比价系数、包装系数、线径系数和其他系数，按照价格公式计算得出。</w:t>
            </w:r>
          </w:p>
        </w:tc>
      </w:tr>
    </w:tbl>
    <w:p>
      <w:pPr>
        <w:pStyle w:val="4"/>
        <w:numPr>
          <w:ilvl w:val="0"/>
          <w:numId w:val="1"/>
        </w:numPr>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申报要求</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 xml:space="preserve">（一）申报企业资格及相关要求 </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1.申报企业为已取得本次集中带量采购产品合法资质的医疗器械注册人（含备案人，下同）。境外医疗器械注册人应当指定我国境内企业法人协助其履行相应的法律义务，委托其作为申报企业。产品质量标准、生产能力、供应能力、企业信用等方面达到本次集中带量采购要求的企业均可参加。</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2.同一医疗器械注册人同一产品分组产品须委托同一家企业申报。</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3.不同医疗器械注册人若为同一实际控制人或存在控股关系（直接控股或间接控股超过50%的情形）的，视为存在关联关系。不同医疗器械注册人委托同一家企业申报的，委托企业和受托企业之间均视为存在关联关系；不同医疗器械注册人委托不同企业申报的，但委托企业或受托企业为同一实际控制人或存在控股关系的，委托企业和受托企业之间均视为存在关联关系；同产品分组有委托生产关系的视为存在关联关系。</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4.申报企业和医疗器械注册人未被列入当前《全国医药价格和招采失信企业风险警示名单》，未被省际联盟采购领导小组或其成员单位列入当前“违规名单”。</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 xml:space="preserve">5.申报企业和医疗器械注册人应遵守包括但不限于《中华人民共和国专利法》《中华人民共和国反不正当竞争法》《中华人民共和国反垄断法》等相关法律法规，并承担相应法律责任。 </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 xml:space="preserve">6.申报企业须在本次集中带量采购过程中，依据《医药价格和招采信用评价的操作规范（2025版）》向省际联盟采购领导小组作出承诺，该承诺或将根据工作需要公开。  </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7.申报企业须明确并承诺，申报的所有规格型号在采购周期内满足本省际联盟采购需求。申报规格、型号应尽可能覆盖临床所需，审核中若发现覆盖不全</w:t>
      </w:r>
      <w:r>
        <w:rPr>
          <w:rFonts w:hint="eastAsia" w:ascii="宋体" w:hAnsi="宋体" w:cs="宋体"/>
          <w:sz w:val="32"/>
          <w:szCs w:val="32"/>
          <w:highlight w:val="none"/>
        </w:rPr>
        <w:t>，</w:t>
      </w:r>
      <w:r>
        <w:rPr>
          <w:rFonts w:hint="eastAsia" w:eastAsia="仿宋_GB2312"/>
          <w:sz w:val="32"/>
          <w:szCs w:val="32"/>
          <w:highlight w:val="none"/>
        </w:rPr>
        <w:t>可取消该企业申报资格。</w:t>
      </w:r>
    </w:p>
    <w:p>
      <w:pPr>
        <w:pStyle w:val="4"/>
        <w:spacing w:line="560" w:lineRule="exact"/>
        <w:ind w:firstLine="640" w:firstLineChars="200"/>
        <w:rPr>
          <w:rFonts w:ascii="楷体" w:hAnsi="楷体" w:eastAsia="楷体" w:cs="CESI仿宋-GB2312"/>
          <w:b w:val="0"/>
          <w:highlight w:val="none"/>
        </w:rPr>
      </w:pPr>
      <w:r>
        <w:rPr>
          <w:rFonts w:hint="eastAsia" w:ascii="楷体" w:hAnsi="楷体" w:eastAsia="楷体" w:cs="CESI仿宋-GB2312"/>
          <w:bCs w:val="0"/>
          <w:highlight w:val="none"/>
        </w:rPr>
        <w:t xml:space="preserve">（二）申报产品资格要求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1.申报产品属于采购产品范围，且须于2025年</w:t>
      </w:r>
      <w:r>
        <w:rPr>
          <w:rFonts w:hint="eastAsia" w:eastAsia="仿宋_GB2312"/>
          <w:snapToGrid w:val="0"/>
          <w:kern w:val="0"/>
          <w:sz w:val="32"/>
          <w:szCs w:val="32"/>
          <w:highlight w:val="none"/>
          <w:lang w:val="en-US" w:eastAsia="zh-CN"/>
        </w:rPr>
        <w:t>10</w:t>
      </w:r>
      <w:r>
        <w:rPr>
          <w:rFonts w:hint="eastAsia" w:eastAsia="仿宋_GB2312"/>
          <w:snapToGrid w:val="0"/>
          <w:kern w:val="0"/>
          <w:sz w:val="32"/>
          <w:szCs w:val="32"/>
          <w:highlight w:val="none"/>
        </w:rPr>
        <w:t>月</w:t>
      </w:r>
      <w:r>
        <w:rPr>
          <w:rFonts w:hint="eastAsia" w:eastAsia="仿宋_GB2312"/>
          <w:snapToGrid w:val="0"/>
          <w:kern w:val="0"/>
          <w:sz w:val="32"/>
          <w:szCs w:val="32"/>
          <w:highlight w:val="none"/>
          <w:lang w:val="en-US" w:eastAsia="zh-CN"/>
        </w:rPr>
        <w:t>14</w:t>
      </w:r>
      <w:r>
        <w:rPr>
          <w:rFonts w:hint="eastAsia" w:eastAsia="仿宋_GB2312"/>
          <w:snapToGrid w:val="0"/>
          <w:kern w:val="0"/>
          <w:sz w:val="32"/>
          <w:szCs w:val="32"/>
          <w:highlight w:val="none"/>
        </w:rPr>
        <w:t xml:space="preserve">日（含）前获得有效中华人民共和国医疗器械注册证。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2.申报产品应当符合有关部门的质量标准要求，并按有关部门要求组织生产。</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napToGrid w:val="0"/>
          <w:kern w:val="0"/>
          <w:sz w:val="32"/>
          <w:szCs w:val="32"/>
          <w:highlight w:val="none"/>
        </w:rPr>
        <w:t>3.申报企业须于2025 年</w:t>
      </w:r>
      <w:r>
        <w:rPr>
          <w:rFonts w:hint="eastAsia" w:eastAsia="仿宋_GB2312"/>
          <w:snapToGrid w:val="0"/>
          <w:kern w:val="0"/>
          <w:sz w:val="32"/>
          <w:szCs w:val="32"/>
          <w:highlight w:val="none"/>
          <w:lang w:val="en-US" w:eastAsia="zh-CN"/>
        </w:rPr>
        <w:t>10</w:t>
      </w:r>
      <w:r>
        <w:rPr>
          <w:rFonts w:hint="eastAsia" w:eastAsia="仿宋_GB2312"/>
          <w:snapToGrid w:val="0"/>
          <w:kern w:val="0"/>
          <w:sz w:val="32"/>
          <w:szCs w:val="32"/>
          <w:highlight w:val="none"/>
        </w:rPr>
        <w:t>月</w:t>
      </w:r>
      <w:r>
        <w:rPr>
          <w:rFonts w:hint="eastAsia" w:eastAsia="仿宋_GB2312"/>
          <w:snapToGrid w:val="0"/>
          <w:kern w:val="0"/>
          <w:sz w:val="32"/>
          <w:szCs w:val="32"/>
          <w:highlight w:val="none"/>
          <w:lang w:val="en-US" w:eastAsia="zh-CN"/>
        </w:rPr>
        <w:t>14</w:t>
      </w:r>
      <w:r>
        <w:rPr>
          <w:rFonts w:hint="eastAsia" w:eastAsia="仿宋_GB2312"/>
          <w:snapToGrid w:val="0"/>
          <w:kern w:val="0"/>
          <w:sz w:val="32"/>
          <w:szCs w:val="32"/>
          <w:highlight w:val="none"/>
        </w:rPr>
        <w:t>日17:00时前，确认参加本次集中带量采购的供应产品，完成企业申报工作</w:t>
      </w:r>
      <w:r>
        <w:rPr>
          <w:rFonts w:hint="eastAsia" w:eastAsia="仿宋_GB2312"/>
          <w:sz w:val="32"/>
          <w:szCs w:val="32"/>
          <w:highlight w:val="none"/>
        </w:rPr>
        <w:t>。</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四、采购周期与采购协议</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 xml:space="preserve">（一）本次省际联盟缝合线等5类医用耗材集中带量采购周期为3年，自联盟各地区中选结果实际执行日起计算。已自行开展同类医用耗材集中带量采购且尚在采购协议期内的省份，可按所在省份医用耗材集中采购管理有关规定执行本次集采中选结果。 </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（二）采购周期内每年签订采购协议。续签采购协议时，协议采购总量原则上不低于首年协议采购量，或不低于上一年实际采购量90%，不低于同中选企业上年协议采购量。</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（三）采购周期内，医疗机构若提前完成协议采购量，超出协议采购量部分，中选企业仍需按中选价格进行供应，直至采购周期届满。</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五、采购执行说明</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（一）采购周期内，医疗机构优先使用本次集中带量采购中选产品，并确保完成协议采购量。</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（二）采购周期内，采购和使用本次集中带量采购中选产品时，医疗机构按中选价格与企业结算。</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（三）采购周期内，医疗机构在优先使用本次集中带量采购中选产品的基础上，可按所在省份医用耗材集中采购管理有关规定，适量采购其他价格适宜的产品。</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 xml:space="preserve">（四）联盟各地区按有关工作要求，制定确保中选产品质量、供应、采购、使用以及医疗机构及时回款的配套措施。 </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（五）采购周期内，如中选产品注册证更新，中选资格及中选价格维持不变。除不可抗力外，不允许中选企业的中选产品选择性供应，否则视为该企业放弃中选资格。</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六）采购周期内，中选企业未申报或新获批的产品，未中选企业或新获批企业的产品均视为非中选产品；境外企业中选后如在国内设厂生产，并获得同产品分组的产品医疗器械注册证，视同中选企业新获批产品。</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七）采购周期内，如中选企业非中选产品接受该企业同产品分组同产品特征折算系数的中选价，由企业向省际联盟采购领导小组申请，可作为中选产品执行，但在提出申请的采购年度内无协议采购量；如未中选企业或新获批企业的产品接受不高于同产品分组中选产品按系数折算后平均中选价，由企业向省际联盟采购领导小组申请，可作为中选产品执行，但在提出申请的采购年度内无协议采购量。</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（八）采购周期内，如涉及产品价格治理等须降价情形， 中选企业应主动上报，且按相关政策调整后的价格供应，直至采购周期届满。采购周期内，如中选产品在全国其它省际联盟或省级带量采购及挂网交易中出现新低价格时（含接续价格），由中选企业在30日内主动申报，核实后按最新低价格进行联动执行。</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 xml:space="preserve">（九）采购周期内，境外医疗器械注册人如变更协助其履行相应法律义务的我国境内企业法人，须向省际联盟采购领导小组递交更换委托代理企业的声明。拟变更的我国境内企业法人，应当满足申报企业资格及相关要求。 </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十）若中选企业委托其他企业生产中选产品的，受托生产企业须持有有效的生产许可证等证件。中选产品要符合国家及地方相关的强制性标准，全生产流程遵循规范，建立完善追溯体系，保障从原材料到终端使用可追溯。优先选择有2年及以上生产经验的生产企业。</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六、采购文件获取</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通过“辽宁省医疗保障平台-药品和医用耗材集中采购服务系统-带量采购报名子系统”（以下简称报名子系统）及联盟各地区指定网站下载相关文件。</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z w:val="32"/>
          <w:szCs w:val="32"/>
          <w:highlight w:val="none"/>
        </w:rPr>
        <w:t>时间：2025年</w:t>
      </w:r>
      <w:r>
        <w:rPr>
          <w:rFonts w:hint="eastAsia" w:eastAsia="仿宋_GB2312"/>
          <w:sz w:val="32"/>
          <w:szCs w:val="32"/>
          <w:highlight w:val="none"/>
          <w:lang w:val="en-US" w:eastAsia="zh-CN"/>
        </w:rPr>
        <w:t>9</w:t>
      </w:r>
      <w:r>
        <w:rPr>
          <w:rFonts w:hint="eastAsia" w:eastAsia="仿宋_GB2312"/>
          <w:sz w:val="32"/>
          <w:szCs w:val="32"/>
          <w:highlight w:val="none"/>
        </w:rPr>
        <w:t>月</w:t>
      </w:r>
      <w:r>
        <w:rPr>
          <w:rFonts w:hint="eastAsia" w:eastAsia="仿宋_GB2312"/>
          <w:sz w:val="32"/>
          <w:szCs w:val="32"/>
          <w:highlight w:val="none"/>
          <w:lang w:val="en-US" w:eastAsia="zh-CN"/>
        </w:rPr>
        <w:t>23</w:t>
      </w:r>
      <w:r>
        <w:rPr>
          <w:rFonts w:hint="eastAsia" w:eastAsia="仿宋_GB2312"/>
          <w:sz w:val="32"/>
          <w:szCs w:val="32"/>
          <w:highlight w:val="none"/>
        </w:rPr>
        <w:t>日至</w:t>
      </w:r>
      <w:r>
        <w:rPr>
          <w:rFonts w:hint="eastAsia" w:eastAsia="仿宋_GB2312"/>
          <w:sz w:val="32"/>
          <w:szCs w:val="32"/>
          <w:highlight w:val="none"/>
          <w:lang w:val="en-US" w:eastAsia="zh-CN"/>
        </w:rPr>
        <w:t>10</w:t>
      </w:r>
      <w:r>
        <w:rPr>
          <w:rFonts w:hint="eastAsia" w:eastAsia="仿宋_GB2312"/>
          <w:sz w:val="32"/>
          <w:szCs w:val="32"/>
          <w:highlight w:val="none"/>
        </w:rPr>
        <w:t>月</w:t>
      </w:r>
      <w:r>
        <w:rPr>
          <w:rFonts w:hint="eastAsia" w:eastAsia="仿宋_GB2312"/>
          <w:sz w:val="32"/>
          <w:szCs w:val="32"/>
          <w:highlight w:val="none"/>
          <w:lang w:val="en-US" w:eastAsia="zh-CN"/>
        </w:rPr>
        <w:t>14</w:t>
      </w:r>
      <w:r>
        <w:rPr>
          <w:rFonts w:hint="eastAsia" w:eastAsia="仿宋_GB2312"/>
          <w:sz w:val="32"/>
          <w:szCs w:val="32"/>
          <w:highlight w:val="none"/>
        </w:rPr>
        <w:t>日17：00</w:t>
      </w:r>
      <w:r>
        <w:rPr>
          <w:rFonts w:hint="eastAsia" w:eastAsia="仿宋_GB2312"/>
          <w:snapToGrid w:val="0"/>
          <w:kern w:val="0"/>
          <w:sz w:val="32"/>
          <w:szCs w:val="32"/>
          <w:highlight w:val="none"/>
        </w:rPr>
        <w:t>时。</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网址：https://ggfw.ybj.ln.gov.cn/all-tps/dcla/</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七、网上信息申报</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通过报名子系统确认参加本次集中带量采购的产品信息，提交申报资料信息，完成网上信息申报工作。</w:t>
      </w:r>
    </w:p>
    <w:p>
      <w:pPr>
        <w:widowControl/>
        <w:shd w:val="clear" w:color="auto" w:fill="FFFFFF"/>
        <w:spacing w:line="560" w:lineRule="exact"/>
        <w:ind w:firstLine="640" w:firstLineChars="200"/>
        <w:rPr>
          <w:rFonts w:eastAsia="仿宋_GB2312"/>
          <w:sz w:val="32"/>
          <w:szCs w:val="32"/>
          <w:highlight w:val="none"/>
        </w:rPr>
      </w:pPr>
      <w:r>
        <w:rPr>
          <w:rFonts w:hint="eastAsia" w:eastAsia="仿宋_GB2312"/>
          <w:sz w:val="32"/>
          <w:szCs w:val="32"/>
          <w:highlight w:val="none"/>
        </w:rPr>
        <w:t>时间：2025年</w:t>
      </w:r>
      <w:r>
        <w:rPr>
          <w:rFonts w:hint="eastAsia" w:eastAsia="仿宋_GB2312"/>
          <w:sz w:val="32"/>
          <w:szCs w:val="32"/>
          <w:highlight w:val="none"/>
          <w:lang w:val="en-US" w:eastAsia="zh-CN"/>
        </w:rPr>
        <w:t>9</w:t>
      </w:r>
      <w:r>
        <w:rPr>
          <w:rFonts w:hint="eastAsia" w:eastAsia="仿宋_GB2312"/>
          <w:sz w:val="32"/>
          <w:szCs w:val="32"/>
          <w:highlight w:val="none"/>
        </w:rPr>
        <w:t>月</w:t>
      </w:r>
      <w:r>
        <w:rPr>
          <w:rFonts w:hint="eastAsia" w:eastAsia="仿宋_GB2312"/>
          <w:sz w:val="32"/>
          <w:szCs w:val="32"/>
          <w:highlight w:val="none"/>
          <w:lang w:val="en-US" w:eastAsia="zh-CN"/>
        </w:rPr>
        <w:t>23</w:t>
      </w:r>
      <w:r>
        <w:rPr>
          <w:rFonts w:hint="eastAsia" w:eastAsia="仿宋_GB2312"/>
          <w:sz w:val="32"/>
          <w:szCs w:val="32"/>
          <w:highlight w:val="none"/>
        </w:rPr>
        <w:t>日至</w:t>
      </w:r>
      <w:r>
        <w:rPr>
          <w:rFonts w:hint="eastAsia" w:eastAsia="仿宋_GB2312"/>
          <w:sz w:val="32"/>
          <w:szCs w:val="32"/>
          <w:highlight w:val="none"/>
          <w:lang w:val="en-US" w:eastAsia="zh-CN"/>
        </w:rPr>
        <w:t>10</w:t>
      </w:r>
      <w:r>
        <w:rPr>
          <w:rFonts w:hint="eastAsia" w:eastAsia="仿宋_GB2312"/>
          <w:sz w:val="32"/>
          <w:szCs w:val="32"/>
          <w:highlight w:val="none"/>
        </w:rPr>
        <w:t>月</w:t>
      </w:r>
      <w:r>
        <w:rPr>
          <w:rFonts w:hint="eastAsia" w:eastAsia="仿宋_GB2312"/>
          <w:sz w:val="32"/>
          <w:szCs w:val="32"/>
          <w:highlight w:val="none"/>
          <w:lang w:val="en-US" w:eastAsia="zh-CN"/>
        </w:rPr>
        <w:t>15</w:t>
      </w:r>
      <w:r>
        <w:rPr>
          <w:rFonts w:hint="eastAsia" w:eastAsia="仿宋_GB2312"/>
          <w:sz w:val="32"/>
          <w:szCs w:val="32"/>
          <w:highlight w:val="none"/>
        </w:rPr>
        <w:t>日17：00时。</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z w:val="32"/>
          <w:szCs w:val="32"/>
          <w:highlight w:val="none"/>
        </w:rPr>
        <w:t>网址：https://ggfw.ybj.ln.gov.cn/all-tps/dcla</w:t>
      </w:r>
      <w:r>
        <w:rPr>
          <w:rFonts w:hint="eastAsia" w:eastAsia="仿宋_GB2312"/>
          <w:snapToGrid w:val="0"/>
          <w:kern w:val="0"/>
          <w:sz w:val="32"/>
          <w:szCs w:val="32"/>
          <w:highlight w:val="none"/>
        </w:rPr>
        <w:t>/</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八、信息公开</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申报信息公开和报价信息公开时间网上另行通知。</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九、结果公示</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拟中选结果公示和中选结果公示时间网上另行通知。</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十、联系方式</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联系电话：0419-5777019、024-23447076、13050787783</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平台技术支持：024-31311983</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服务时间：9：00</w:t>
      </w:r>
      <w:r>
        <w:rPr>
          <w:rFonts w:hint="eastAsia" w:ascii="宋体" w:hAnsi="宋体" w:cs="宋体"/>
          <w:snapToGrid w:val="0"/>
          <w:kern w:val="0"/>
          <w:sz w:val="32"/>
          <w:szCs w:val="32"/>
          <w:highlight w:val="none"/>
        </w:rPr>
        <w:t>-</w:t>
      </w:r>
      <w:r>
        <w:rPr>
          <w:rFonts w:hint="eastAsia" w:eastAsia="仿宋_GB2312"/>
          <w:snapToGrid w:val="0"/>
          <w:kern w:val="0"/>
          <w:sz w:val="32"/>
          <w:szCs w:val="32"/>
          <w:highlight w:val="none"/>
        </w:rPr>
        <w:t>12：00，13：30</w:t>
      </w:r>
      <w:r>
        <w:rPr>
          <w:rFonts w:hint="eastAsia" w:ascii="宋体" w:hAnsi="宋体" w:cs="宋体"/>
          <w:snapToGrid w:val="0"/>
          <w:kern w:val="0"/>
          <w:sz w:val="32"/>
          <w:szCs w:val="32"/>
          <w:highlight w:val="none"/>
        </w:rPr>
        <w:t>-</w:t>
      </w:r>
      <w:r>
        <w:rPr>
          <w:rFonts w:hint="eastAsia" w:eastAsia="仿宋_GB2312"/>
          <w:snapToGrid w:val="0"/>
          <w:kern w:val="0"/>
          <w:sz w:val="32"/>
          <w:szCs w:val="32"/>
          <w:highlight w:val="none"/>
        </w:rPr>
        <w:t>16：30，节假日除外。</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邮    箱：lysylbzjjck2025@163.com</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项目咨询QQ群：959072141</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十一、有关说明</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（一）省际联盟采购领导小组已通过自我审查的方式开展公平竞争审查，本次集中带量采购相关文件不具有排除、限制竞争效果。</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（二）联盟省份按有关工作要求，可以就采购协议、产品配送、质量检测、未中选产品采购、未中选产品价格调整、医保支付标准等事项发布相关文件。</w:t>
      </w:r>
    </w:p>
    <w:p>
      <w:pPr>
        <w:pStyle w:val="20"/>
        <w:rPr>
          <w:color w:val="auto"/>
          <w:highlight w:val="none"/>
        </w:rPr>
      </w:pPr>
    </w:p>
    <w:p>
      <w:pPr>
        <w:spacing w:line="560" w:lineRule="exact"/>
        <w:rPr>
          <w:highlight w:val="none"/>
        </w:rPr>
      </w:pPr>
    </w:p>
    <w:p>
      <w:pPr>
        <w:pStyle w:val="20"/>
        <w:rPr>
          <w:color w:val="auto"/>
          <w:highlight w:val="none"/>
        </w:rPr>
      </w:pPr>
    </w:p>
    <w:p>
      <w:pPr>
        <w:pStyle w:val="20"/>
        <w:rPr>
          <w:color w:val="auto"/>
          <w:highlight w:val="none"/>
        </w:rPr>
      </w:pPr>
    </w:p>
    <w:p>
      <w:pPr>
        <w:pStyle w:val="20"/>
        <w:rPr>
          <w:color w:val="auto"/>
          <w:highlight w:val="none"/>
        </w:rPr>
      </w:pPr>
    </w:p>
    <w:p>
      <w:pPr>
        <w:widowControl/>
        <w:shd w:val="clear" w:color="auto" w:fill="FFFFFF"/>
        <w:spacing w:before="313" w:after="313"/>
        <w:rPr>
          <w:rFonts w:ascii="黑体" w:hAnsi="黑体" w:eastAsia="黑体" w:cs="黑体"/>
          <w:b/>
          <w:bCs/>
          <w:kern w:val="0"/>
          <w:sz w:val="52"/>
          <w:szCs w:val="52"/>
          <w:highlight w:val="none"/>
          <w:shd w:val="clear" w:color="auto" w:fill="FFFFFF"/>
        </w:rPr>
      </w:pPr>
    </w:p>
    <w:p>
      <w:pPr>
        <w:pStyle w:val="20"/>
        <w:rPr>
          <w:rFonts w:ascii="黑体" w:hAnsi="黑体" w:eastAsia="黑体" w:cs="黑体"/>
          <w:b/>
          <w:bCs/>
          <w:color w:val="auto"/>
          <w:sz w:val="52"/>
          <w:szCs w:val="52"/>
          <w:highlight w:val="none"/>
          <w:shd w:val="clear" w:color="auto" w:fill="FFFFFF"/>
        </w:rPr>
      </w:pPr>
    </w:p>
    <w:p>
      <w:pPr>
        <w:pStyle w:val="20"/>
        <w:rPr>
          <w:color w:val="auto"/>
          <w:highlight w:val="none"/>
        </w:rPr>
      </w:pPr>
    </w:p>
    <w:p>
      <w:pPr>
        <w:widowControl/>
        <w:shd w:val="clear" w:color="auto" w:fill="FFFFFF"/>
        <w:spacing w:before="313" w:after="313"/>
        <w:jc w:val="center"/>
        <w:rPr>
          <w:rFonts w:ascii="方正小标宋简体" w:hAnsi="方正小标宋简体" w:eastAsia="方正小标宋简体" w:cs="方正小标宋简体"/>
          <w:kern w:val="0"/>
          <w:sz w:val="52"/>
          <w:szCs w:val="52"/>
          <w:highlight w:val="none"/>
          <w:shd w:val="clear" w:color="auto" w:fill="FFFFFF"/>
        </w:rPr>
      </w:pPr>
      <w:r>
        <w:rPr>
          <w:rFonts w:hint="eastAsia" w:ascii="方正小标宋简体" w:hAnsi="方正小标宋简体" w:eastAsia="方正小标宋简体" w:cs="方正小标宋简体"/>
          <w:kern w:val="0"/>
          <w:sz w:val="52"/>
          <w:szCs w:val="52"/>
          <w:highlight w:val="none"/>
          <w:shd w:val="clear" w:color="auto" w:fill="FFFFFF"/>
        </w:rPr>
        <w:t>第二部分 申报企业须知</w:t>
      </w:r>
    </w:p>
    <w:p>
      <w:pPr>
        <w:rPr>
          <w:highlight w:val="none"/>
        </w:rPr>
      </w:pPr>
      <w:r>
        <w:rPr>
          <w:rFonts w:hint="eastAsia"/>
          <w:highlight w:val="none"/>
        </w:rPr>
        <w:br w:type="page"/>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一、集中带量采购当事人</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（一）申报企业</w:t>
      </w:r>
    </w:p>
    <w:p>
      <w:pPr>
        <w:widowControl/>
        <w:shd w:val="clear" w:color="auto" w:fill="FFFFFF"/>
        <w:spacing w:line="560" w:lineRule="exact"/>
        <w:ind w:firstLine="640" w:firstLineChars="200"/>
        <w:rPr>
          <w:rFonts w:eastAsia="仿宋_GB2312"/>
          <w:snapToGrid w:val="0"/>
          <w:kern w:val="0"/>
          <w:sz w:val="32"/>
          <w:szCs w:val="32"/>
          <w:highlight w:val="none"/>
        </w:rPr>
      </w:pPr>
      <w:r>
        <w:rPr>
          <w:rFonts w:eastAsia="仿宋_GB2312"/>
          <w:snapToGrid w:val="0"/>
          <w:kern w:val="0"/>
          <w:sz w:val="32"/>
          <w:szCs w:val="32"/>
          <w:highlight w:val="none"/>
        </w:rPr>
        <w:t>1.</w:t>
      </w:r>
      <w:r>
        <w:rPr>
          <w:rFonts w:hint="eastAsia" w:eastAsia="仿宋_GB2312"/>
          <w:snapToGrid w:val="0"/>
          <w:kern w:val="0"/>
          <w:sz w:val="32"/>
          <w:szCs w:val="32"/>
          <w:highlight w:val="none"/>
        </w:rPr>
        <w:t>申报企业参加本次集中带量采购活动应当具备以下条件：</w:t>
      </w:r>
    </w:p>
    <w:p>
      <w:pPr>
        <w:widowControl/>
        <w:shd w:val="clear" w:color="auto" w:fill="FFFFFF"/>
        <w:spacing w:line="560" w:lineRule="exact"/>
        <w:ind w:firstLine="640" w:firstLineChars="200"/>
        <w:rPr>
          <w:rFonts w:eastAsia="仿宋_GB2312"/>
          <w:snapToGrid w:val="0"/>
          <w:kern w:val="0"/>
          <w:sz w:val="32"/>
          <w:szCs w:val="32"/>
          <w:highlight w:val="none"/>
        </w:rPr>
      </w:pPr>
      <w:r>
        <w:rPr>
          <w:rFonts w:eastAsia="仿宋_GB2312"/>
          <w:snapToGrid w:val="0"/>
          <w:kern w:val="0"/>
          <w:sz w:val="32"/>
          <w:szCs w:val="32"/>
          <w:highlight w:val="none"/>
        </w:rPr>
        <w:t>（1）</w:t>
      </w:r>
      <w:r>
        <w:rPr>
          <w:rFonts w:hint="eastAsia" w:eastAsia="仿宋_GB2312"/>
          <w:snapToGrid w:val="0"/>
          <w:kern w:val="0"/>
          <w:sz w:val="32"/>
          <w:szCs w:val="32"/>
          <w:highlight w:val="none"/>
        </w:rPr>
        <w:t xml:space="preserve">申报企业应具备“申报企业资格及相关要求”中规定必须满足的全部要求。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 xml:space="preserve">（2）具有履行采购协议必须具备的能力。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 xml:space="preserve">（3）医疗器械注册人对申报产品的质量和供应负责，作为供应保障的第一责任人，中选后须按要求及时、足量组织生产，向配送企业供应中选产品，满足医疗机构临床使用需求。境外医疗器械注册人指定的申报企业协助其履行相应的义务。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2.申报企业应按照本采购文件的要求编制申报材料，申报材料应对本采购文件提出的要求和条件做出响应。</w:t>
      </w:r>
    </w:p>
    <w:p>
      <w:pPr>
        <w:spacing w:line="560" w:lineRule="exact"/>
        <w:ind w:firstLine="640" w:firstLineChars="200"/>
        <w:rPr>
          <w:rFonts w:ascii="楷体" w:hAnsi="楷体" w:eastAsia="楷体" w:cs="CESI仿宋-GB2312"/>
          <w:b/>
          <w:sz w:val="32"/>
          <w:szCs w:val="32"/>
          <w:highlight w:val="none"/>
        </w:rPr>
      </w:pPr>
      <w:r>
        <w:rPr>
          <w:rFonts w:hint="eastAsia" w:ascii="楷体" w:hAnsi="楷体" w:eastAsia="楷体" w:cs="CESI仿宋-GB2312"/>
          <w:b/>
          <w:sz w:val="32"/>
          <w:szCs w:val="32"/>
          <w:highlight w:val="none"/>
        </w:rPr>
        <w:t xml:space="preserve">（二）其他要求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1.申报企业若不满足“申报企业资格及相关要求”中规定必须满足的全部要求，或涉嫌提供虚假证明材料，一经确认，省际联盟采购领导小组将视其为无效申报；情节严重的，列入“违规名单”并予以相应处置。</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2.申报企业在本次集中带量采购活动前两年内，未被联盟地区内任一省（市、区、兵团）依据医药价格和招采信用评价制度评定为失信等级“严重”或“特别严重”（失信等级采集时间范围为本采购文件发布日前2年内，下同）。</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3.申报产品在本次集中带量采购活动前两年内，不存在省级（含）以上药品监督管理部门质量检验不合格情况，不存在因不符合医疗器械生产质量管理规范被药品监督管理部门处以暂停生产、进口、经营和使用等控制措施的情况。省际联盟采购领导小组根据工作需要可对中选产品生产及中选产品质量进行调查（调查形式根据实际情况确定），中选企业应予以积极配合。</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4.申报企业应不低于成本报价。各产品组报价最低的中选企业应对其报价的合理性作出解释，必要时发布相关声明。</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 xml:space="preserve">5.申报企业中选后，须按联盟各地区要求签订采购协议。履约期间，中选企业原则上应确保持续拥有中选产品的有效中华人民共和国医疗器械注册证，否则将取消该产品中选资格。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 xml:space="preserve">6.境外医疗器械注册人不得将指定的申报企业转为同产品分组其他中选企业，也不得转为同产品分组其他中选的境外医疗器械注册人指定的申报企业。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7.在采购协议履行过程中，如遇国家政策调整等不可抗力影响协议履行的，由协议各方协商解决。</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二、信息申报</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（一）产品信息确认</w:t>
      </w:r>
    </w:p>
    <w:p>
      <w:pPr>
        <w:pStyle w:val="20"/>
        <w:spacing w:line="560" w:lineRule="exact"/>
        <w:ind w:firstLine="640" w:firstLineChars="200"/>
        <w:rPr>
          <w:rFonts w:ascii="Times New Roman" w:hAnsi="Times New Roman" w:eastAsia="仿宋_GB2312" w:cs="Times New Roman"/>
          <w:snapToGrid w:val="0"/>
          <w:color w:val="auto"/>
          <w:sz w:val="32"/>
          <w:szCs w:val="32"/>
          <w:highlight w:val="none"/>
        </w:rPr>
      </w:pPr>
      <w:r>
        <w:rPr>
          <w:rFonts w:hint="eastAsia" w:ascii="Times New Roman" w:hAnsi="Times New Roman" w:eastAsia="仿宋_GB2312" w:cs="Times New Roman"/>
          <w:snapToGrid w:val="0"/>
          <w:color w:val="auto"/>
          <w:sz w:val="32"/>
          <w:szCs w:val="32"/>
          <w:highlight w:val="none"/>
        </w:rPr>
        <w:t>申报企业登录报名子系统“产品填报”模块，按要求确认参加本次集中带量采购的产品信息。</w:t>
      </w:r>
    </w:p>
    <w:p>
      <w:pPr>
        <w:pStyle w:val="20"/>
        <w:spacing w:line="560" w:lineRule="exact"/>
        <w:ind w:firstLine="640" w:firstLineChars="200"/>
        <w:rPr>
          <w:rFonts w:ascii="Times New Roman" w:hAnsi="Times New Roman" w:eastAsia="仿宋_GB2312" w:cs="Times New Roman"/>
          <w:snapToGrid w:val="0"/>
          <w:color w:val="auto"/>
          <w:sz w:val="32"/>
          <w:szCs w:val="32"/>
          <w:highlight w:val="none"/>
        </w:rPr>
      </w:pPr>
      <w:r>
        <w:rPr>
          <w:rFonts w:hint="eastAsia" w:ascii="Times New Roman" w:hAnsi="Times New Roman" w:eastAsia="仿宋_GB2312" w:cs="Times New Roman"/>
          <w:snapToGrid w:val="0"/>
          <w:color w:val="auto"/>
          <w:sz w:val="32"/>
          <w:szCs w:val="32"/>
          <w:highlight w:val="none"/>
        </w:rPr>
        <w:t>1.申报企业应按产品分组如实确认对应参与本次集中带量采购的产品，并按要求如实填报相关产品特征。</w:t>
      </w:r>
    </w:p>
    <w:p>
      <w:pPr>
        <w:pStyle w:val="20"/>
        <w:spacing w:line="560" w:lineRule="exact"/>
        <w:ind w:firstLine="640" w:firstLineChars="200"/>
        <w:rPr>
          <w:rFonts w:ascii="Times New Roman" w:hAnsi="Times New Roman" w:eastAsia="仿宋_GB2312" w:cs="Times New Roman"/>
          <w:snapToGrid w:val="0"/>
          <w:color w:val="auto"/>
          <w:sz w:val="32"/>
          <w:szCs w:val="32"/>
          <w:highlight w:val="none"/>
        </w:rPr>
      </w:pPr>
      <w:r>
        <w:rPr>
          <w:rFonts w:hint="eastAsia" w:ascii="Times New Roman" w:hAnsi="Times New Roman" w:eastAsia="仿宋_GB2312" w:cs="Times New Roman"/>
          <w:snapToGrid w:val="0"/>
          <w:color w:val="auto"/>
          <w:sz w:val="32"/>
          <w:szCs w:val="32"/>
          <w:highlight w:val="none"/>
        </w:rPr>
        <w:t>2.申报企业应如实填报2024年4月1日至今联盟地区发生最低现行采购价格；全国最低现行挂网价格、挂网限价或参考价（不包括企业自报挂网价格和带量采购中选价格）；</w:t>
      </w:r>
      <w:r>
        <w:rPr>
          <w:rFonts w:hint="eastAsia" w:hAnsi="仿宋_GB2312" w:eastAsia="仿宋_GB2312"/>
          <w:sz w:val="32"/>
          <w:szCs w:val="32"/>
          <w:highlight w:val="none"/>
        </w:rPr>
        <w:t>省</w:t>
      </w:r>
      <w:r>
        <w:rPr>
          <w:rFonts w:hint="eastAsia" w:ascii="Times New Roman" w:hAnsi="Times New Roman" w:eastAsia="仿宋_GB2312" w:cs="Times New Roman"/>
          <w:snapToGrid w:val="0"/>
          <w:color w:val="auto"/>
          <w:sz w:val="32"/>
          <w:szCs w:val="32"/>
          <w:highlight w:val="none"/>
        </w:rPr>
        <w:t>级及以上带量采购项目的最低中选价格（包含公示期的拟中选结果）。</w:t>
      </w:r>
    </w:p>
    <w:p>
      <w:pPr>
        <w:widowControl/>
        <w:shd w:val="clear" w:color="auto" w:fill="FFFFFF"/>
        <w:spacing w:line="560" w:lineRule="exact"/>
        <w:ind w:firstLine="640" w:firstLineChars="200"/>
        <w:rPr>
          <w:rFonts w:ascii="楷体" w:hAnsi="楷体" w:eastAsia="楷体" w:cs="CESI仿宋-GB2312"/>
          <w:b/>
          <w:sz w:val="32"/>
          <w:szCs w:val="32"/>
          <w:highlight w:val="none"/>
        </w:rPr>
      </w:pPr>
      <w:r>
        <w:rPr>
          <w:rFonts w:hint="eastAsia" w:ascii="楷体" w:hAnsi="楷体" w:eastAsia="楷体" w:cs="CESI仿宋-GB2312"/>
          <w:b/>
          <w:sz w:val="32"/>
          <w:szCs w:val="32"/>
          <w:highlight w:val="none"/>
        </w:rPr>
        <w:t>（二）申报资料提交</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申报企业登录报名子系统，按采购文件中提供的资格证明文件格式要求，将材料用A4纸依顺序打印，每页均加盖申报企业公章后，扫描成PDF格式上传至系统。</w:t>
      </w:r>
    </w:p>
    <w:p>
      <w:pPr>
        <w:widowControl/>
        <w:shd w:val="clear" w:color="auto" w:fill="FFFFFF"/>
        <w:spacing w:line="560" w:lineRule="exact"/>
        <w:ind w:firstLine="640" w:firstLineChars="200"/>
        <w:rPr>
          <w:rFonts w:ascii="CESI仿宋-GB2312" w:hAnsi="CESI仿宋-GB2312" w:eastAsia="CESI仿宋-GB2312" w:cs="CESI仿宋-GB2312"/>
          <w:b/>
          <w:bCs/>
          <w:sz w:val="32"/>
          <w:szCs w:val="32"/>
          <w:highlight w:val="none"/>
        </w:rPr>
      </w:pPr>
      <w:r>
        <w:rPr>
          <w:rFonts w:hint="eastAsia" w:ascii="CESI仿宋-GB2312" w:hAnsi="CESI仿宋-GB2312" w:eastAsia="CESI仿宋-GB2312" w:cs="CESI仿宋-GB2312"/>
          <w:b/>
          <w:bCs/>
          <w:sz w:val="32"/>
          <w:szCs w:val="32"/>
          <w:highlight w:val="none"/>
        </w:rPr>
        <w:t xml:space="preserve">1.申报资料编制要求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1）申报企业应仔细阅读本采购文件全部内容，按要求提供申报材料，并保证所提供的全部材料真实有效。申报材料涉及有效期限的，须在报价信息公开当日仍处于有效期内。若因申报企业未按照采购文件要求提交完整材料、提交的申报材料未响应采购文件、内容不实等原因影响中选结果，由申报企业自行承担责任。</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（2）申报企业与省际联盟采购领导小组就申报递交的材料、交换的文件和来往信件，一律以中文书写，并加盖申报企业公章。</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（3）除申报材料中对技术规格另有规定外，应使用中华人民共和国法定计量单位和有关部门规定的医用耗材名称、医用耗材规格型号、医用耗材功能属性表示方法。</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（4）申报企业应在规定时间内上传申报材料，逾期不予受理。申报时间截止后，原则上申报材料不得做出任何修改。</w:t>
      </w:r>
    </w:p>
    <w:p>
      <w:pPr>
        <w:widowControl/>
        <w:shd w:val="clear" w:color="auto" w:fill="FFFFFF"/>
        <w:spacing w:line="560" w:lineRule="exact"/>
        <w:ind w:firstLine="640" w:firstLineChars="200"/>
        <w:rPr>
          <w:rFonts w:ascii="CESI仿宋-GB2312" w:hAnsi="CESI仿宋-GB2312" w:eastAsia="CESI仿宋-GB2312" w:cs="CESI仿宋-GB2312"/>
          <w:b/>
          <w:bCs/>
          <w:sz w:val="32"/>
          <w:szCs w:val="32"/>
          <w:highlight w:val="none"/>
        </w:rPr>
      </w:pPr>
      <w:r>
        <w:rPr>
          <w:rFonts w:hint="eastAsia" w:ascii="CESI仿宋-GB2312" w:hAnsi="CESI仿宋-GB2312" w:eastAsia="CESI仿宋-GB2312" w:cs="CESI仿宋-GB2312"/>
          <w:b/>
          <w:bCs/>
          <w:sz w:val="32"/>
          <w:szCs w:val="32"/>
          <w:highlight w:val="none"/>
        </w:rPr>
        <w:t xml:space="preserve">2.申报资料的构成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 xml:space="preserve">（1）申报企业资格证明文件封面（附件1）。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（2）缝合线等5类医用耗材集中带量采购申报承诺函（附件2）。</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（3）申报产品一览表（平台打印）（附件3）。</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 xml:space="preserve">（4）法定代表人身份证明书或法定代表人授权委托书（附件4）。 </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（5）医药企业价格和营销行为信用承诺书（附件5）。</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（6）知识产权承诺书（附件6）。</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（7）企业关联关系表（附件7）。</w:t>
      </w:r>
    </w:p>
    <w:p>
      <w:pPr>
        <w:widowControl/>
        <w:shd w:val="clear" w:color="auto" w:fill="FFFFFF"/>
        <w:spacing w:line="560" w:lineRule="exact"/>
        <w:ind w:firstLine="640" w:firstLineChars="200"/>
        <w:rPr>
          <w:rFonts w:eastAsia="仿宋_GB2312"/>
          <w:snapToGrid w:val="0"/>
          <w:kern w:val="0"/>
          <w:sz w:val="32"/>
          <w:szCs w:val="32"/>
          <w:highlight w:val="none"/>
        </w:rPr>
      </w:pPr>
      <w:r>
        <w:rPr>
          <w:rFonts w:hint="eastAsia" w:eastAsia="仿宋_GB2312"/>
          <w:snapToGrid w:val="0"/>
          <w:kern w:val="0"/>
          <w:sz w:val="32"/>
          <w:szCs w:val="32"/>
          <w:highlight w:val="none"/>
        </w:rPr>
        <w:t>（8）各产品组平均成本清单（附件8，不公开，需要时另行提交）</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三、信息公开</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（一）申报信息公开</w:t>
      </w:r>
    </w:p>
    <w:p>
      <w:pPr>
        <w:spacing w:line="560" w:lineRule="exact"/>
        <w:ind w:firstLine="640" w:firstLineChars="200"/>
        <w:jc w:val="left"/>
        <w:rPr>
          <w:rFonts w:hAnsi="仿宋_GB2312" w:eastAsia="仿宋_GB2312"/>
          <w:sz w:val="32"/>
          <w:szCs w:val="32"/>
          <w:highlight w:val="none"/>
        </w:rPr>
      </w:pPr>
      <w:r>
        <w:rPr>
          <w:rFonts w:hint="eastAsia" w:eastAsia="仿宋_GB2312"/>
          <w:snapToGrid w:val="0"/>
          <w:kern w:val="0"/>
          <w:sz w:val="32"/>
          <w:szCs w:val="32"/>
          <w:highlight w:val="none"/>
        </w:rPr>
        <w:t>申报信息通过网上公开，公示期不少于5天。公示期间，相关企业均可登录报名子系统查阅信息，如对公示内容存在疑问或异议，可在公示期内提交加盖公章的书面材料及佐证依据至指定邮箱，省际联盟采购领导小组将对反馈内容进行严格核查，并及</w:t>
      </w:r>
      <w:r>
        <w:rPr>
          <w:rFonts w:hint="eastAsia" w:hAnsi="仿宋_GB2312" w:eastAsia="仿宋_GB2312"/>
          <w:sz w:val="32"/>
          <w:szCs w:val="32"/>
          <w:highlight w:val="none"/>
        </w:rPr>
        <w:t>时处理与答复。</w:t>
      </w:r>
      <w:r>
        <w:rPr>
          <w:rFonts w:hAnsi="仿宋_GB2312" w:eastAsia="仿宋_GB2312"/>
          <w:sz w:val="32"/>
          <w:szCs w:val="32"/>
          <w:highlight w:val="none"/>
        </w:rPr>
        <w:t>在集采过程中，如遇国家医保编码的</w:t>
      </w:r>
      <w:r>
        <w:rPr>
          <w:rFonts w:hint="eastAsia" w:hAnsi="仿宋_GB2312" w:eastAsia="仿宋_GB2312"/>
          <w:sz w:val="32"/>
          <w:szCs w:val="32"/>
          <w:highlight w:val="none"/>
        </w:rPr>
        <w:t>调整</w:t>
      </w:r>
      <w:r>
        <w:rPr>
          <w:rFonts w:hAnsi="仿宋_GB2312" w:eastAsia="仿宋_GB2312"/>
          <w:sz w:val="32"/>
          <w:szCs w:val="32"/>
          <w:highlight w:val="none"/>
        </w:rPr>
        <w:t>变化，统一由</w:t>
      </w:r>
      <w:r>
        <w:rPr>
          <w:rFonts w:hint="eastAsia" w:hAnsi="仿宋_GB2312" w:eastAsia="仿宋_GB2312"/>
          <w:sz w:val="32"/>
          <w:szCs w:val="32"/>
          <w:highlight w:val="none"/>
        </w:rPr>
        <w:t>省际联盟采购领导小组办公室</w:t>
      </w:r>
      <w:r>
        <w:rPr>
          <w:rFonts w:hAnsi="仿宋_GB2312" w:eastAsia="仿宋_GB2312"/>
          <w:sz w:val="32"/>
          <w:szCs w:val="32"/>
          <w:highlight w:val="none"/>
        </w:rPr>
        <w:t>按要求适时进行调整。</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（二）报价信息公开</w:t>
      </w:r>
    </w:p>
    <w:p>
      <w:pPr>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报价信息公开时，邀请所有申报企业、公证机构、有关部门及医药集中采购义务监督员等参加，对报价信息公开的全过程进行监督。</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四、中选产品确定</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（一）竞价组</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依据医疗机构的采购需求量，每个产品以申报企业为单位分为A、B两个竞价组。若A竞价组有申报企业不参加，不进行递补；若A或B竞价组申报企业小于3家，则不分A、B竞价组，遵循A竞价组规则。每类产品组别的竞价组划分原则详见表-7。</w:t>
      </w:r>
    </w:p>
    <w:p>
      <w:pPr>
        <w:pStyle w:val="20"/>
        <w:jc w:val="center"/>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highlight w:val="none"/>
        </w:rPr>
        <w:t>表-7</w:t>
      </w:r>
    </w:p>
    <w:tbl>
      <w:tblPr>
        <w:tblStyle w:val="13"/>
        <w:tblW w:w="9491" w:type="dxa"/>
        <w:jc w:val="center"/>
        <w:tblLayout w:type="fixed"/>
        <w:tblCellMar>
          <w:top w:w="0" w:type="dxa"/>
          <w:left w:w="108" w:type="dxa"/>
          <w:bottom w:w="0" w:type="dxa"/>
          <w:right w:w="108" w:type="dxa"/>
        </w:tblCellMar>
      </w:tblPr>
      <w:tblGrid>
        <w:gridCol w:w="631"/>
        <w:gridCol w:w="990"/>
        <w:gridCol w:w="5550"/>
        <w:gridCol w:w="1630"/>
        <w:gridCol w:w="690"/>
      </w:tblGrid>
      <w:tr>
        <w:tblPrEx>
          <w:tblCellMar>
            <w:top w:w="0" w:type="dxa"/>
            <w:left w:w="108" w:type="dxa"/>
            <w:bottom w:w="0" w:type="dxa"/>
            <w:right w:w="108" w:type="dxa"/>
          </w:tblCellMar>
        </w:tblPrEx>
        <w:trPr>
          <w:trHeight w:val="49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分组序号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采购产品</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竞价组</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w:t>
            </w:r>
          </w:p>
        </w:tc>
        <w:tc>
          <w:tcPr>
            <w:tcW w:w="99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r>
              <w:rPr>
                <w:rFonts w:hint="eastAsia" w:ascii="仿宋" w:hAnsi="仿宋" w:eastAsia="仿宋" w:cs="仿宋"/>
                <w:kern w:val="0"/>
                <w:sz w:val="20"/>
                <w:szCs w:val="20"/>
                <w:highlight w:val="none"/>
              </w:rPr>
              <w:t>缝合线</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1可吸收缝合线、天然材质</w:t>
            </w:r>
          </w:p>
        </w:tc>
        <w:tc>
          <w:tcPr>
            <w:tcW w:w="1630" w:type="dxa"/>
            <w:vMerge w:val="restart"/>
            <w:tcBorders>
              <w:top w:val="single" w:color="000000" w:sz="4" w:space="0"/>
              <w:left w:val="single" w:color="000000" w:sz="4" w:space="0"/>
              <w:right w:val="single" w:color="000000" w:sz="4" w:space="0"/>
            </w:tcBorders>
            <w:shd w:val="clear" w:color="auto" w:fill="auto"/>
            <w:noWrap/>
            <w:vAlign w:val="center"/>
          </w:tcPr>
          <w:p>
            <w:pPr>
              <w:pStyle w:val="20"/>
              <w:spacing w:line="260" w:lineRule="exac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按申报企业采购需求量占总需求量的比例划分：占比≥1%的纳入A竞价组（其中产品分组9、18、19纳入A竞价组常规规格必须齐全）；产品分组申报企业≥50，在各联盟地区需求量排名第1的纳入A竞价组；其余纳入B竞价组。</w:t>
            </w:r>
          </w:p>
          <w:p>
            <w:pPr>
              <w:widowControl/>
              <w:spacing w:line="260" w:lineRule="exact"/>
              <w:textAlignment w:val="center"/>
              <w:rPr>
                <w:rFonts w:ascii="仿宋" w:hAnsi="仿宋" w:eastAsia="仿宋" w:cs="仿宋"/>
                <w:kern w:val="0"/>
                <w:sz w:val="20"/>
                <w:szCs w:val="20"/>
                <w:highlight w:val="none"/>
              </w:rPr>
            </w:pPr>
          </w:p>
          <w:p>
            <w:pPr>
              <w:widowControl/>
              <w:spacing w:line="260" w:lineRule="exact"/>
              <w:textAlignment w:val="center"/>
              <w:rPr>
                <w:rFonts w:ascii="宋体" w:hAnsi="宋体" w:cs="宋体"/>
                <w:sz w:val="22"/>
                <w:szCs w:val="22"/>
                <w:highlight w:val="none"/>
              </w:rPr>
            </w:pPr>
          </w:p>
        </w:tc>
        <w:tc>
          <w:tcPr>
            <w:tcW w:w="69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0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2可吸收缝合线、合成材质</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3可吸收缝合线、合成材质、免打结</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4</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4不可吸收缝合线、合成材质</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5</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5不可吸收缝合线、合成材质、免打结</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6</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6不可吸收缝合线、不锈钢材质</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7</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7不可吸收缝合线、钛合金材质</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8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0"/>
              <w:widowControl/>
              <w:autoSpaceDE/>
              <w:autoSpaceDN/>
              <w:adjustRightInd/>
              <w:spacing w:line="260" w:lineRule="exact"/>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8不可吸收缝合线、金属材质、免打结</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1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9</w:t>
            </w:r>
          </w:p>
        </w:tc>
        <w:tc>
          <w:tcPr>
            <w:tcW w:w="99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r>
              <w:rPr>
                <w:rFonts w:hint="eastAsia" w:ascii="仿宋" w:hAnsi="仿宋" w:eastAsia="仿宋" w:cs="仿宋"/>
                <w:kern w:val="0"/>
                <w:sz w:val="20"/>
                <w:szCs w:val="20"/>
                <w:highlight w:val="none"/>
              </w:rPr>
              <w:t>注射器（带针）</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9注射器（带针）、各种类型、各种规格</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2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kern w:val="0"/>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10避光注射器（带针）、各种类型、各种规格</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8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11</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kern w:val="0"/>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11泵用注射器、各种类型、各种规格</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仿宋" w:hAnsi="仿宋" w:eastAsia="仿宋" w:cs="仿宋"/>
                <w:kern w:val="0"/>
                <w:sz w:val="20"/>
                <w:szCs w:val="20"/>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5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12</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kern w:val="0"/>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12避光泵用注射器、各种类型、各种规格</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仿宋" w:hAnsi="仿宋" w:eastAsia="仿宋" w:cs="仿宋"/>
                <w:kern w:val="0"/>
                <w:sz w:val="20"/>
                <w:szCs w:val="20"/>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40" w:hRule="exac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13</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13无芯杆溶药注射器、各种类型、各种规格</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14</w:t>
            </w:r>
          </w:p>
        </w:tc>
        <w:tc>
          <w:tcPr>
            <w:tcW w:w="990" w:type="dxa"/>
            <w:vMerge w:val="restart"/>
            <w:tcBorders>
              <w:top w:val="single" w:color="000000" w:sz="4" w:space="0"/>
              <w:left w:val="single" w:color="000000" w:sz="4" w:space="0"/>
              <w:right w:val="single" w:color="000000" w:sz="4" w:space="0"/>
            </w:tcBorders>
            <w:shd w:val="clear" w:color="auto" w:fill="auto"/>
            <w:vAlign w:val="center"/>
          </w:tcPr>
          <w:p>
            <w:pPr>
              <w:widowControl/>
              <w:tabs>
                <w:tab w:val="left" w:pos="651"/>
              </w:tabs>
              <w:spacing w:line="260" w:lineRule="exact"/>
              <w:rPr>
                <w:rFonts w:ascii="仿宋" w:hAnsi="仿宋" w:eastAsia="仿宋" w:cs="仿宋"/>
                <w:sz w:val="20"/>
                <w:szCs w:val="20"/>
                <w:highlight w:val="none"/>
              </w:rPr>
            </w:pPr>
            <w:r>
              <w:rPr>
                <w:rFonts w:hint="eastAsia" w:ascii="仿宋" w:hAnsi="仿宋" w:eastAsia="仿宋" w:cs="仿宋"/>
                <w:kern w:val="0"/>
                <w:sz w:val="20"/>
                <w:szCs w:val="20"/>
                <w:highlight w:val="none"/>
              </w:rPr>
              <w:t>泵用输液器</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14泵用普通输液器、各种规格、各种针型</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270" w:hRule="atLeast"/>
          <w:jc w:val="center"/>
        </w:trPr>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15</w:t>
            </w:r>
          </w:p>
        </w:tc>
        <w:tc>
          <w:tcPr>
            <w:tcW w:w="990"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15泵用精密输液器、各种规格、各种针型</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22"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16</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651"/>
              </w:tabs>
              <w:spacing w:line="260" w:lineRule="exact"/>
              <w:rPr>
                <w:rFonts w:ascii="仿宋" w:hAnsi="仿宋" w:eastAsia="仿宋" w:cs="仿宋"/>
                <w:sz w:val="20"/>
                <w:szCs w:val="20"/>
                <w:highlight w:val="none"/>
              </w:rPr>
            </w:pPr>
            <w:r>
              <w:rPr>
                <w:rFonts w:hint="eastAsia" w:ascii="仿宋" w:hAnsi="仿宋" w:eastAsia="仿宋" w:cs="仿宋"/>
                <w:kern w:val="0"/>
                <w:sz w:val="20"/>
                <w:szCs w:val="20"/>
                <w:highlight w:val="none"/>
              </w:rPr>
              <w:t>吸氧管</w:t>
            </w:r>
          </w:p>
        </w:tc>
        <w:tc>
          <w:tcPr>
            <w:tcW w:w="555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16不带湿化瓶吸氧管</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5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17</w:t>
            </w: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17带湿化瓶吸氧管</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23" w:hRule="atLeast"/>
          <w:jc w:val="center"/>
        </w:trPr>
        <w:tc>
          <w:tcPr>
            <w:tcW w:w="6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18</w:t>
            </w:r>
          </w:p>
        </w:tc>
        <w:tc>
          <w:tcPr>
            <w:tcW w:w="990" w:type="dxa"/>
            <w:vMerge w:val="restart"/>
            <w:tcBorders>
              <w:top w:val="single" w:color="auto" w:sz="4" w:space="0"/>
              <w:left w:val="single" w:color="000000" w:sz="4" w:space="0"/>
              <w:right w:val="single" w:color="000000" w:sz="4" w:space="0"/>
            </w:tcBorders>
            <w:shd w:val="clear" w:color="auto" w:fill="auto"/>
            <w:vAlign w:val="center"/>
          </w:tcPr>
          <w:p>
            <w:pPr>
              <w:widowControl/>
              <w:tabs>
                <w:tab w:val="left" w:pos="651"/>
              </w:tabs>
              <w:spacing w:line="260" w:lineRule="exact"/>
              <w:rPr>
                <w:rFonts w:ascii="仿宋" w:hAnsi="仿宋" w:eastAsia="仿宋" w:cs="仿宋"/>
                <w:sz w:val="20"/>
                <w:szCs w:val="20"/>
                <w:highlight w:val="none"/>
              </w:rPr>
            </w:pPr>
            <w:r>
              <w:rPr>
                <w:rFonts w:hint="eastAsia" w:ascii="仿宋" w:hAnsi="仿宋" w:eastAsia="仿宋" w:cs="仿宋"/>
                <w:kern w:val="0"/>
                <w:sz w:val="20"/>
                <w:szCs w:val="20"/>
                <w:highlight w:val="none"/>
              </w:rPr>
              <w:t>真空采血管（含静脉血样采集针）</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18真空采血管、玻璃、各种规格、各种型号</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485"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19</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19真空采血管、PET（聚对苯二甲酸乙二醇酯）、各种规格、各种型号</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39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20</w:t>
            </w:r>
          </w:p>
        </w:tc>
        <w:tc>
          <w:tcPr>
            <w:tcW w:w="990"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20静脉血样采集针、软连接、各种规格、各种型号</w:t>
            </w:r>
          </w:p>
        </w:tc>
        <w:tc>
          <w:tcPr>
            <w:tcW w:w="1630" w:type="dxa"/>
            <w:vMerge w:val="continue"/>
            <w:tcBorders>
              <w:left w:val="single" w:color="000000" w:sz="4" w:space="0"/>
              <w:right w:val="single" w:color="000000" w:sz="4" w:space="0"/>
            </w:tcBorders>
            <w:shd w:val="clear" w:color="auto" w:fill="auto"/>
            <w:noWrap/>
            <w:vAlign w:val="center"/>
          </w:tcPr>
          <w:p>
            <w:pPr>
              <w:widowControl/>
              <w:spacing w:line="260" w:lineRule="exact"/>
              <w:textAlignment w:val="center"/>
              <w:rPr>
                <w:rFonts w:ascii="宋体" w:hAnsi="宋体" w:cs="宋体"/>
                <w:sz w:val="22"/>
                <w:szCs w:val="22"/>
                <w:highlight w:val="none"/>
              </w:rPr>
            </w:pPr>
          </w:p>
        </w:tc>
        <w:tc>
          <w:tcPr>
            <w:tcW w:w="690" w:type="dxa"/>
            <w:vMerge w:val="continue"/>
            <w:tcBorders>
              <w:left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r>
        <w:tblPrEx>
          <w:tblCellMar>
            <w:top w:w="0" w:type="dxa"/>
            <w:left w:w="108" w:type="dxa"/>
            <w:bottom w:w="0" w:type="dxa"/>
            <w:right w:w="108" w:type="dxa"/>
          </w:tblCellMar>
        </w:tblPrEx>
        <w:trPr>
          <w:trHeight w:val="473"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21</w:t>
            </w:r>
          </w:p>
        </w:tc>
        <w:tc>
          <w:tcPr>
            <w:tcW w:w="99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21静脉血样采集针、硬连接、各种规格、各种型号</w:t>
            </w:r>
          </w:p>
        </w:tc>
        <w:tc>
          <w:tcPr>
            <w:tcW w:w="1630" w:type="dxa"/>
            <w:vMerge w:val="continue"/>
            <w:tcBorders>
              <w:left w:val="single" w:color="000000" w:sz="4" w:space="0"/>
              <w:bottom w:val="single" w:color="auto"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c>
          <w:tcPr>
            <w:tcW w:w="69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60" w:lineRule="exact"/>
              <w:rPr>
                <w:rFonts w:ascii="宋体" w:hAnsi="宋体" w:cs="宋体"/>
                <w:sz w:val="22"/>
                <w:szCs w:val="22"/>
                <w:highlight w:val="none"/>
              </w:rPr>
            </w:pPr>
          </w:p>
        </w:tc>
      </w:tr>
    </w:tbl>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（二）申报价格</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1.企业以产品分组申报价格。每个产品分组在不高于最高有效申报价格的基础上仅允许有一个申报价格（申报价格是确认企业排名及拟中选结果的数值，并非拟中选价格，拟中选价格需使用表9-1至9-5的比价系数、包装系数、线径系数及其他系数，按照价格公式计算得出）。申报以“每1根/支/套”为报价单元，以人民币填报，单位为“元”，保留小数点后四位。高于最高有效申报价格、零报价和不报价均视为放弃。</w:t>
      </w:r>
    </w:p>
    <w:p>
      <w:pPr>
        <w:widowControl/>
        <w:shd w:val="clear" w:color="auto" w:fill="FFFFFF"/>
        <w:spacing w:line="560" w:lineRule="exact"/>
        <w:ind w:firstLine="640" w:firstLineChars="200"/>
        <w:rPr>
          <w:rFonts w:eastAsia="仿宋_GB2312"/>
          <w:highlight w:val="none"/>
        </w:rPr>
      </w:pPr>
      <w:r>
        <w:rPr>
          <w:rFonts w:hint="eastAsia" w:hAnsi="仿宋_GB2312" w:eastAsia="仿宋_GB2312"/>
          <w:sz w:val="32"/>
          <w:szCs w:val="32"/>
          <w:highlight w:val="none"/>
        </w:rPr>
        <w:t>2.企业申报的申报价格与拟中选价格（实际供应价格）之间存在比价关系，通过各种比价系数表示，拟中选价格（实际供应价格）=报价单元的申报价格×（或+）各种系数。拟中选价格以“元”为单位，保留小数点后两位，为产品的实际供应价格，包含但不限于配送、伴随服务等费用。</w:t>
      </w:r>
    </w:p>
    <w:p>
      <w:pPr>
        <w:spacing w:line="560" w:lineRule="exact"/>
        <w:ind w:firstLine="640"/>
        <w:rPr>
          <w:rFonts w:hAnsi="仿宋_GB2312" w:eastAsia="仿宋_GB2312"/>
          <w:sz w:val="32"/>
          <w:szCs w:val="32"/>
          <w:highlight w:val="none"/>
        </w:rPr>
      </w:pPr>
      <w:r>
        <w:rPr>
          <w:rFonts w:hint="eastAsia" w:hAnsi="仿宋_GB2312" w:eastAsia="仿宋_GB2312"/>
          <w:sz w:val="32"/>
          <w:szCs w:val="32"/>
          <w:highlight w:val="none"/>
        </w:rPr>
        <w:t>3.每个产品分组内存在关联关系的企业，视为同一申报企业，可一并或分别提交申报价格，分别提交时同竞价组内须按相同价格申报。若申报价格不同，均视为无效。</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（三）企业排名</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1.同一产品分组的同一竞价组，按照申报价格由低到高的顺序确定排名，申报价格最低的为第一名，次低的为第二名，依此类推。</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 xml:space="preserve">2.当出现排名相同的情况，按照以下规则依次确定排名： </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 xml:space="preserve">（1）未被任一省（市、区、兵团）依据医药价格和招采信用评价制度评定为“中等”及以下的；如均被评定失信等级，则失信等级严重程度低的企业优先；若失信等级相同，则被评定次数少的企业优先。 </w:t>
      </w:r>
    </w:p>
    <w:p>
      <w:pPr>
        <w:spacing w:line="560" w:lineRule="exact"/>
        <w:ind w:firstLine="640"/>
        <w:rPr>
          <w:rFonts w:hAnsi="仿宋_GB2312" w:eastAsia="仿宋_GB2312"/>
          <w:sz w:val="32"/>
          <w:szCs w:val="32"/>
          <w:highlight w:val="none"/>
        </w:rPr>
      </w:pPr>
      <w:r>
        <w:rPr>
          <w:rFonts w:hint="eastAsia" w:hAnsi="仿宋_GB2312" w:eastAsia="仿宋_GB2312"/>
          <w:sz w:val="32"/>
          <w:szCs w:val="32"/>
          <w:highlight w:val="none"/>
        </w:rPr>
        <w:t>（2）同一竞价组内，依次按照医疗机构采购需求量大的企业优先、报量医疗机构数量多的企业优先、报量省（市、区、兵团）数量多的企业优先。</w:t>
      </w:r>
    </w:p>
    <w:p>
      <w:pPr>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（3）中华人民共和国医疗器械注册证编号在前的企业优先。</w:t>
      </w:r>
    </w:p>
    <w:p>
      <w:pPr>
        <w:spacing w:line="560" w:lineRule="exact"/>
        <w:ind w:firstLine="640" w:firstLineChars="200"/>
        <w:rPr>
          <w:rFonts w:ascii="CESI仿宋-GB2312" w:hAnsi="CESI仿宋-GB2312" w:eastAsia="CESI仿宋-GB2312" w:cs="CESI仿宋-GB2312"/>
          <w:kern w:val="0"/>
          <w:sz w:val="32"/>
          <w:szCs w:val="32"/>
          <w:highlight w:val="none"/>
          <w:shd w:val="clear" w:color="auto" w:fill="FFFFFF"/>
        </w:rPr>
      </w:pPr>
      <w:r>
        <w:rPr>
          <w:rFonts w:hint="eastAsia" w:hAnsi="仿宋_GB2312" w:eastAsia="仿宋_GB2312"/>
          <w:sz w:val="32"/>
          <w:szCs w:val="32"/>
          <w:highlight w:val="none"/>
        </w:rPr>
        <w:t>（4）若按以上规则仍无法区分企业排名，则采取并列不连续排名。</w:t>
      </w:r>
      <w:r>
        <w:rPr>
          <w:rFonts w:hint="eastAsia" w:ascii="CESI仿宋-GB2312" w:hAnsi="CESI仿宋-GB2312" w:eastAsia="CESI仿宋-GB2312" w:cs="CESI仿宋-GB2312"/>
          <w:kern w:val="0"/>
          <w:sz w:val="32"/>
          <w:szCs w:val="32"/>
          <w:highlight w:val="none"/>
          <w:shd w:val="clear" w:color="auto" w:fill="FFFFFF"/>
        </w:rPr>
        <w:t xml:space="preserve"> </w:t>
      </w:r>
    </w:p>
    <w:p>
      <w:pPr>
        <w:pStyle w:val="4"/>
        <w:spacing w:line="560" w:lineRule="exact"/>
        <w:ind w:firstLine="640" w:firstLineChars="200"/>
        <w:rPr>
          <w:rFonts w:ascii="楷体" w:hAnsi="楷体" w:eastAsia="楷体" w:cs="CESI仿宋-GB2312"/>
          <w:bCs w:val="0"/>
          <w:highlight w:val="none"/>
        </w:rPr>
      </w:pPr>
      <w:r>
        <w:rPr>
          <w:rFonts w:hint="eastAsia" w:ascii="楷体" w:hAnsi="楷体" w:eastAsia="楷体" w:cs="CESI仿宋-GB2312"/>
          <w:bCs w:val="0"/>
          <w:highlight w:val="none"/>
        </w:rPr>
        <w:t>（四）拟中选规则</w:t>
      </w:r>
    </w:p>
    <w:p>
      <w:pPr>
        <w:widowControl/>
        <w:spacing w:line="560" w:lineRule="exact"/>
        <w:ind w:firstLine="640" w:firstLineChars="200"/>
        <w:jc w:val="left"/>
        <w:rPr>
          <w:rFonts w:hAnsi="仿宋_GB2312" w:eastAsia="仿宋_GB2312"/>
          <w:sz w:val="32"/>
          <w:szCs w:val="32"/>
          <w:highlight w:val="none"/>
        </w:rPr>
      </w:pPr>
      <w:r>
        <w:rPr>
          <w:rFonts w:hint="eastAsia" w:hAnsi="仿宋_GB2312" w:eastAsia="仿宋_GB2312"/>
          <w:sz w:val="32"/>
          <w:szCs w:val="32"/>
          <w:highlight w:val="none"/>
        </w:rPr>
        <w:t>各产品分组按竞价组开展竞价，通过价格竞争产生拟中选企业。规则一、二为中选规则，规则三、四为复活规则。</w:t>
      </w:r>
    </w:p>
    <w:p>
      <w:pPr>
        <w:spacing w:line="560" w:lineRule="exact"/>
        <w:ind w:firstLine="640"/>
        <w:rPr>
          <w:rFonts w:hAnsi="仿宋_GB2312" w:eastAsia="仿宋_GB2312"/>
          <w:b/>
          <w:bCs/>
          <w:sz w:val="32"/>
          <w:szCs w:val="32"/>
          <w:highlight w:val="none"/>
        </w:rPr>
      </w:pPr>
    </w:p>
    <w:p>
      <w:pPr>
        <w:spacing w:line="560" w:lineRule="exact"/>
        <w:ind w:firstLine="640"/>
        <w:rPr>
          <w:rFonts w:hAnsi="仿宋_GB2312" w:eastAsia="仿宋_GB2312"/>
          <w:b/>
          <w:bCs/>
          <w:sz w:val="32"/>
          <w:szCs w:val="32"/>
          <w:highlight w:val="none"/>
        </w:rPr>
      </w:pPr>
      <w:r>
        <w:rPr>
          <w:rFonts w:hint="eastAsia" w:hAnsi="仿宋_GB2312" w:eastAsia="仿宋_GB2312"/>
          <w:b/>
          <w:bCs/>
          <w:sz w:val="32"/>
          <w:szCs w:val="32"/>
          <w:highlight w:val="none"/>
        </w:rPr>
        <w:t>1.各产品组拟中选竞价规则</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同一产品组中，若申报企业拟中选，则申报企业在该产品分组的所有产品均为拟中选，拟中选企业按以下规则确定：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（1）A竞价组</w:t>
      </w:r>
    </w:p>
    <w:p>
      <w:pPr>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规则一：申报企业按申报价格从低到高排名，排名前80%的申报企业（四舍五入，保留整数）获得拟中选资格。最后一名拟中选企业若并列排名且排名超过80%，则同时视为非拟中选。</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规则二：通过规则一未获得拟中选资格的申报企业，若申报价格不高于B竞价组通过规则一获得拟中选资格企业最高申报价格，或不高于本企业现行最低带量采购价格（同产品分组有多个带量价格的，取通过系数计算的最低数值）的95%，获得拟中选资格。</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（2）B竞价组</w:t>
      </w:r>
    </w:p>
    <w:p>
      <w:pPr>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规则一：申报企业按申报价格从低到高排名，排名前65%的企业（四舍五入，保留整数）获得拟中选资格。最后一名拟中选名额若并列排名且超过65%的，则同时视为非拟中选。</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规则二：通过规则一未获得拟中选资格的申报企业，若申报价格不高于A竞价组通过规则一获得拟中选资格企业平均申报价格，或不高于本企业现行最低带量采购价格（同产品分组有多个带量价格的，取通过系数计算的最低数值）的90%，获得拟中选资格。</w:t>
      </w:r>
    </w:p>
    <w:p>
      <w:pPr>
        <w:widowControl/>
        <w:numPr>
          <w:ilvl w:val="0"/>
          <w:numId w:val="2"/>
        </w:numPr>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A竞价组申报企业小于3家时，拟中选结果通过与其他所有产品分组的平均降幅比较确定：以其他所有产品分组通过规则一、二拟中选结果的平均降幅为标准，不低于平均降幅的，获规则一拟中选资格；低于平均降幅的，获规则四拟中选资格。</w:t>
      </w:r>
    </w:p>
    <w:p>
      <w:pPr>
        <w:spacing w:line="560" w:lineRule="exact"/>
        <w:ind w:firstLine="640" w:firstLineChars="200"/>
        <w:rPr>
          <w:rFonts w:hAnsi="仿宋_GB2312" w:eastAsia="仿宋_GB2312"/>
          <w:b/>
          <w:bCs/>
          <w:sz w:val="32"/>
          <w:szCs w:val="32"/>
          <w:highlight w:val="none"/>
        </w:rPr>
      </w:pPr>
      <w:r>
        <w:rPr>
          <w:rFonts w:hint="eastAsia" w:hAnsi="仿宋_GB2312" w:eastAsia="仿宋_GB2312"/>
          <w:b/>
          <w:bCs/>
          <w:sz w:val="32"/>
          <w:szCs w:val="32"/>
          <w:highlight w:val="none"/>
        </w:rPr>
        <w:t>2.各产品组拟中选复活规则</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规则三：通过规则一、二未获得拟中选资格的申报企业，若申报价格不高于复活价格，复活为拟中选企业。各产品组的具体复活价格详见表-8。</w:t>
      </w:r>
    </w:p>
    <w:p>
      <w:pPr>
        <w:pStyle w:val="20"/>
        <w:jc w:val="center"/>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highlight w:val="none"/>
        </w:rPr>
        <w:t>表-8</w:t>
      </w:r>
    </w:p>
    <w:tbl>
      <w:tblPr>
        <w:tblStyle w:val="13"/>
        <w:tblW w:w="9995" w:type="dxa"/>
        <w:jc w:val="center"/>
        <w:tblLayout w:type="fixed"/>
        <w:tblCellMar>
          <w:top w:w="0" w:type="dxa"/>
          <w:left w:w="108" w:type="dxa"/>
          <w:bottom w:w="0" w:type="dxa"/>
          <w:right w:w="108" w:type="dxa"/>
        </w:tblCellMar>
      </w:tblPr>
      <w:tblGrid>
        <w:gridCol w:w="719"/>
        <w:gridCol w:w="1121"/>
        <w:gridCol w:w="6311"/>
        <w:gridCol w:w="1020"/>
        <w:gridCol w:w="824"/>
      </w:tblGrid>
      <w:tr>
        <w:tblPrEx>
          <w:tblCellMar>
            <w:top w:w="0" w:type="dxa"/>
            <w:left w:w="108" w:type="dxa"/>
            <w:bottom w:w="0" w:type="dxa"/>
            <w:right w:w="108" w:type="dxa"/>
          </w:tblCellMar>
        </w:tblPrEx>
        <w:trPr>
          <w:trHeight w:val="51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分组序号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采购产品</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复活价格（元/根/支/套）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305"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w:t>
            </w:r>
          </w:p>
        </w:tc>
        <w:tc>
          <w:tcPr>
            <w:tcW w:w="1121" w:type="dxa"/>
            <w:vMerge w:val="restart"/>
            <w:tcBorders>
              <w:top w:val="single" w:color="000000" w:sz="4" w:space="0"/>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r>
              <w:rPr>
                <w:rFonts w:hint="eastAsia" w:ascii="仿宋" w:hAnsi="仿宋" w:eastAsia="仿宋" w:cs="仿宋"/>
                <w:kern w:val="0"/>
                <w:sz w:val="20"/>
                <w:szCs w:val="20"/>
                <w:highlight w:val="none"/>
              </w:rPr>
              <w:t>缝合线</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1可吸收缝合线、天然材质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lang w:val="en-US" w:eastAsia="zh-CN"/>
              </w:rPr>
              <w:t>10</w:t>
            </w:r>
            <w:r>
              <w:rPr>
                <w:rFonts w:hint="eastAsia" w:ascii="Nimbus Roman No9 L" w:hAnsi="Nimbus Roman No9 L" w:eastAsia="仿宋" w:cs="仿宋"/>
                <w:kern w:val="0"/>
                <w:sz w:val="20"/>
                <w:szCs w:val="20"/>
                <w:highlight w:val="none"/>
                <w:shd w:val="clear" w:color="auto" w:fill="FFFFFF"/>
              </w:rPr>
              <w:t>7</w:t>
            </w:r>
            <w:r>
              <w:rPr>
                <w:rFonts w:hint="eastAsia" w:ascii="Nimbus Roman No9 L" w:hAnsi="Nimbus Roman No9 L" w:eastAsia="仿宋" w:cs="仿宋"/>
                <w:kern w:val="0"/>
                <w:sz w:val="20"/>
                <w:szCs w:val="20"/>
                <w:highlight w:val="none"/>
                <w:shd w:val="clear" w:color="auto" w:fill="FFFFFF"/>
                <w:lang w:val="en-US" w:eastAsia="zh-CN"/>
              </w:rPr>
              <w:t>.55</w:t>
            </w:r>
            <w:r>
              <w:rPr>
                <w:rFonts w:hint="eastAsia" w:ascii="Nimbus Roman No9 L" w:hAnsi="Nimbus Roman No9 L" w:eastAsia="仿宋" w:cs="仿宋"/>
                <w:kern w:val="0"/>
                <w:sz w:val="20"/>
                <w:szCs w:val="20"/>
                <w:highlight w:val="none"/>
                <w:shd w:val="clear" w:color="auto" w:fill="FFFFFF"/>
              </w:rPr>
              <w:t xml:space="preserve">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304"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2可吸收缝合线、合成材质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29.36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p>
        </w:tc>
      </w:tr>
      <w:tr>
        <w:tblPrEx>
          <w:tblCellMar>
            <w:top w:w="0" w:type="dxa"/>
            <w:left w:w="108" w:type="dxa"/>
            <w:bottom w:w="0" w:type="dxa"/>
            <w:right w:w="108" w:type="dxa"/>
          </w:tblCellMar>
        </w:tblPrEx>
        <w:trPr>
          <w:trHeight w:val="289"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3可吸收缝合线、合成材质、免打结</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200.64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244"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4</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4不可吸收缝合线、合成材质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lang w:val="en-US" w:eastAsia="zh-CN"/>
              </w:rPr>
              <w:t>65.93</w:t>
            </w:r>
            <w:r>
              <w:rPr>
                <w:rFonts w:hint="eastAsia" w:ascii="Nimbus Roman No9 L" w:hAnsi="Nimbus Roman No9 L" w:eastAsia="仿宋" w:cs="仿宋"/>
                <w:kern w:val="0"/>
                <w:sz w:val="20"/>
                <w:szCs w:val="20"/>
                <w:highlight w:val="none"/>
                <w:shd w:val="clear" w:color="auto" w:fill="FFFFFF"/>
              </w:rPr>
              <w:t xml:space="preserve">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center"/>
              <w:textAlignment w:val="center"/>
              <w:rPr>
                <w:rFonts w:ascii="宋体" w:hAnsi="宋体" w:cs="宋体"/>
                <w:color w:val="E36C09" w:themeColor="accent6" w:themeShade="BF"/>
                <w:sz w:val="22"/>
                <w:szCs w:val="22"/>
                <w:highlight w:val="none"/>
              </w:rPr>
            </w:pPr>
          </w:p>
        </w:tc>
      </w:tr>
      <w:tr>
        <w:tblPrEx>
          <w:tblCellMar>
            <w:top w:w="0" w:type="dxa"/>
            <w:left w:w="108" w:type="dxa"/>
            <w:bottom w:w="0" w:type="dxa"/>
            <w:right w:w="108" w:type="dxa"/>
          </w:tblCellMar>
        </w:tblPrEx>
        <w:trPr>
          <w:trHeight w:val="319"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5</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5不可吸收缝合线、合成材质、免打结</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228.90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319"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6</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6不可吸收缝合线、不锈钢材质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29.04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319"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7</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7不可吸收缝合线、钛合金材质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113.60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334"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8</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8不可吸收缝合线、金属材质、免打结</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430.35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color w:val="E36C09" w:themeColor="accent6" w:themeShade="BF"/>
                <w:sz w:val="22"/>
                <w:szCs w:val="22"/>
                <w:highlight w:val="none"/>
              </w:rPr>
            </w:pPr>
          </w:p>
        </w:tc>
      </w:tr>
      <w:tr>
        <w:tblPrEx>
          <w:tblCellMar>
            <w:top w:w="0" w:type="dxa"/>
            <w:left w:w="108" w:type="dxa"/>
            <w:bottom w:w="0" w:type="dxa"/>
            <w:right w:w="108" w:type="dxa"/>
          </w:tblCellMar>
        </w:tblPrEx>
        <w:trPr>
          <w:trHeight w:val="269"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9</w:t>
            </w:r>
          </w:p>
        </w:tc>
        <w:tc>
          <w:tcPr>
            <w:tcW w:w="1121" w:type="dxa"/>
            <w:vMerge w:val="restart"/>
            <w:tcBorders>
              <w:top w:val="single" w:color="000000" w:sz="4" w:space="0"/>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r>
              <w:rPr>
                <w:rFonts w:hint="eastAsia" w:ascii="仿宋" w:hAnsi="仿宋" w:eastAsia="仿宋" w:cs="仿宋"/>
                <w:kern w:val="0"/>
                <w:sz w:val="20"/>
                <w:szCs w:val="20"/>
                <w:highlight w:val="none"/>
              </w:rPr>
              <w:t>注射器（带针）</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9注射器（带针）、各种类型、各种规格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0.5092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334"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10避光注射器（带针）、各种类型、各种规格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2.55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color w:val="E36C09" w:themeColor="accent6" w:themeShade="BF"/>
                <w:sz w:val="22"/>
                <w:szCs w:val="22"/>
                <w:highlight w:val="none"/>
              </w:rPr>
            </w:pPr>
            <w:r>
              <w:rPr>
                <w:rFonts w:hint="eastAsia" w:ascii="宋体" w:hAnsi="宋体" w:cs="宋体"/>
                <w:color w:val="E36C09" w:themeColor="accent6" w:themeShade="BF"/>
                <w:kern w:val="0"/>
                <w:sz w:val="22"/>
                <w:szCs w:val="22"/>
                <w:highlight w:val="none"/>
              </w:rPr>
              <w:t xml:space="preserve"> </w:t>
            </w:r>
          </w:p>
        </w:tc>
      </w:tr>
      <w:tr>
        <w:tblPrEx>
          <w:tblCellMar>
            <w:top w:w="0" w:type="dxa"/>
            <w:left w:w="108" w:type="dxa"/>
            <w:bottom w:w="0" w:type="dxa"/>
            <w:right w:w="108" w:type="dxa"/>
          </w:tblCellMar>
        </w:tblPrEx>
        <w:trPr>
          <w:trHeight w:val="319"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11</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11泵用注射器、各种类型、各种规格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4.06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p>
        </w:tc>
      </w:tr>
      <w:tr>
        <w:tblPrEx>
          <w:tblCellMar>
            <w:top w:w="0" w:type="dxa"/>
            <w:left w:w="108" w:type="dxa"/>
            <w:bottom w:w="0" w:type="dxa"/>
            <w:right w:w="108" w:type="dxa"/>
          </w:tblCellMar>
        </w:tblPrEx>
        <w:trPr>
          <w:trHeight w:val="304"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12</w:t>
            </w:r>
          </w:p>
        </w:tc>
        <w:tc>
          <w:tcPr>
            <w:tcW w:w="1121" w:type="dxa"/>
            <w:vMerge w:val="continue"/>
            <w:tcBorders>
              <w:left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12避光泵用注射器、各种类型、各种规格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5.78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p>
        </w:tc>
      </w:tr>
      <w:tr>
        <w:tblPrEx>
          <w:tblCellMar>
            <w:top w:w="0" w:type="dxa"/>
            <w:left w:w="108" w:type="dxa"/>
            <w:bottom w:w="0" w:type="dxa"/>
            <w:right w:w="108" w:type="dxa"/>
          </w:tblCellMar>
        </w:tblPrEx>
        <w:trPr>
          <w:trHeight w:val="324"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13</w:t>
            </w:r>
          </w:p>
        </w:tc>
        <w:tc>
          <w:tcPr>
            <w:tcW w:w="1121"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13无芯杆溶药注射器、各种类型、各种规格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2.90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p>
        </w:tc>
      </w:tr>
      <w:tr>
        <w:tblPrEx>
          <w:tblCellMar>
            <w:top w:w="0" w:type="dxa"/>
            <w:left w:w="108" w:type="dxa"/>
            <w:bottom w:w="0" w:type="dxa"/>
            <w:right w:w="108" w:type="dxa"/>
          </w:tblCellMar>
        </w:tblPrEx>
        <w:trPr>
          <w:trHeight w:val="299" w:hRule="exac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14</w:t>
            </w:r>
          </w:p>
        </w:tc>
        <w:tc>
          <w:tcPr>
            <w:tcW w:w="1121" w:type="dxa"/>
            <w:vMerge w:val="restart"/>
            <w:tcBorders>
              <w:top w:val="single" w:color="000000" w:sz="4" w:space="0"/>
              <w:left w:val="single" w:color="000000" w:sz="4" w:space="0"/>
              <w:right w:val="single" w:color="000000" w:sz="4" w:space="0"/>
            </w:tcBorders>
            <w:shd w:val="clear" w:color="auto" w:fill="auto"/>
            <w:vAlign w:val="center"/>
          </w:tcPr>
          <w:p>
            <w:pPr>
              <w:widowControl/>
              <w:tabs>
                <w:tab w:val="left" w:pos="651"/>
              </w:tabs>
              <w:spacing w:line="260" w:lineRule="exact"/>
              <w:rPr>
                <w:rFonts w:ascii="仿宋" w:hAnsi="仿宋" w:eastAsia="仿宋" w:cs="仿宋"/>
                <w:sz w:val="20"/>
                <w:szCs w:val="20"/>
                <w:highlight w:val="none"/>
              </w:rPr>
            </w:pPr>
            <w:r>
              <w:rPr>
                <w:rFonts w:hint="eastAsia" w:ascii="仿宋" w:hAnsi="仿宋" w:eastAsia="仿宋" w:cs="仿宋"/>
                <w:kern w:val="0"/>
                <w:sz w:val="20"/>
                <w:szCs w:val="20"/>
                <w:highlight w:val="none"/>
              </w:rPr>
              <w:t>泵用输液器</w:t>
            </w:r>
          </w:p>
        </w:tc>
        <w:tc>
          <w:tcPr>
            <w:tcW w:w="63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14泵用普通输液器、各种规格、各种针型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5.03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269" w:hRule="exact"/>
          <w:jc w:val="center"/>
        </w:trPr>
        <w:tc>
          <w:tcPr>
            <w:tcW w:w="71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15</w:t>
            </w:r>
          </w:p>
        </w:tc>
        <w:tc>
          <w:tcPr>
            <w:tcW w:w="1121"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60" w:lineRule="exact"/>
              <w:jc w:val="left"/>
              <w:rPr>
                <w:rFonts w:ascii="仿宋" w:hAnsi="仿宋" w:eastAsia="仿宋" w:cs="仿宋"/>
                <w:sz w:val="20"/>
                <w:szCs w:val="20"/>
                <w:highlight w:val="none"/>
              </w:rPr>
            </w:pPr>
          </w:p>
        </w:tc>
        <w:tc>
          <w:tcPr>
            <w:tcW w:w="631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15泵用精密输液器、各种规格、各种针型</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6.50 </w:t>
            </w:r>
          </w:p>
        </w:tc>
        <w:tc>
          <w:tcPr>
            <w:tcW w:w="82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294" w:hRule="exact"/>
          <w:jc w:val="center"/>
        </w:trPr>
        <w:tc>
          <w:tcPr>
            <w:tcW w:w="71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16</w:t>
            </w:r>
          </w:p>
        </w:tc>
        <w:tc>
          <w:tcPr>
            <w:tcW w:w="112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tabs>
                <w:tab w:val="left" w:pos="651"/>
              </w:tabs>
              <w:spacing w:line="260" w:lineRule="exact"/>
              <w:rPr>
                <w:rFonts w:ascii="仿宋" w:hAnsi="仿宋" w:eastAsia="仿宋" w:cs="仿宋"/>
                <w:sz w:val="20"/>
                <w:szCs w:val="20"/>
                <w:highlight w:val="none"/>
              </w:rPr>
            </w:pPr>
            <w:r>
              <w:rPr>
                <w:rFonts w:hint="eastAsia" w:ascii="仿宋" w:hAnsi="仿宋" w:eastAsia="仿宋" w:cs="仿宋"/>
                <w:kern w:val="0"/>
                <w:sz w:val="20"/>
                <w:szCs w:val="20"/>
                <w:highlight w:val="none"/>
              </w:rPr>
              <w:t>吸氧管</w:t>
            </w:r>
          </w:p>
        </w:tc>
        <w:tc>
          <w:tcPr>
            <w:tcW w:w="631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6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16不带湿化瓶吸氧管</w:t>
            </w:r>
          </w:p>
        </w:tc>
        <w:tc>
          <w:tcPr>
            <w:tcW w:w="102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1.50 </w:t>
            </w:r>
          </w:p>
        </w:tc>
        <w:tc>
          <w:tcPr>
            <w:tcW w:w="824"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pacing w:line="260" w:lineRule="exact"/>
              <w:jc w:val="right"/>
              <w:textAlignment w:val="center"/>
              <w:rPr>
                <w:rFonts w:ascii="宋体" w:hAnsi="宋体" w:cs="宋体"/>
                <w:sz w:val="22"/>
                <w:szCs w:val="22"/>
                <w:highlight w:val="none"/>
              </w:rPr>
            </w:pPr>
            <w:r>
              <w:rPr>
                <w:rFonts w:hint="eastAsia" w:ascii="宋体" w:hAnsi="宋体" w:cs="宋体"/>
                <w:kern w:val="0"/>
                <w:sz w:val="22"/>
                <w:szCs w:val="22"/>
                <w:highlight w:val="none"/>
              </w:rPr>
              <w:t xml:space="preserve"> </w:t>
            </w:r>
          </w:p>
        </w:tc>
      </w:tr>
      <w:tr>
        <w:tblPrEx>
          <w:tblCellMar>
            <w:top w:w="0" w:type="dxa"/>
            <w:left w:w="108" w:type="dxa"/>
            <w:bottom w:w="0" w:type="dxa"/>
            <w:right w:w="108" w:type="dxa"/>
          </w:tblCellMar>
        </w:tblPrEx>
        <w:trPr>
          <w:trHeight w:val="279" w:hRule="exact"/>
          <w:jc w:val="center"/>
        </w:trPr>
        <w:tc>
          <w:tcPr>
            <w:tcW w:w="71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17</w:t>
            </w:r>
          </w:p>
        </w:tc>
        <w:tc>
          <w:tcPr>
            <w:tcW w:w="11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tabs>
                <w:tab w:val="left" w:pos="651"/>
              </w:tabs>
              <w:spacing w:line="260" w:lineRule="exact"/>
              <w:rPr>
                <w:rFonts w:ascii="仿宋" w:hAnsi="仿宋" w:eastAsia="仿宋" w:cs="仿宋"/>
                <w:kern w:val="0"/>
                <w:sz w:val="20"/>
                <w:szCs w:val="20"/>
                <w:highlight w:val="none"/>
              </w:rPr>
            </w:pPr>
          </w:p>
        </w:tc>
        <w:tc>
          <w:tcPr>
            <w:tcW w:w="631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60" w:lineRule="exac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17带湿化瓶吸氧管</w:t>
            </w:r>
          </w:p>
        </w:tc>
        <w:tc>
          <w:tcPr>
            <w:tcW w:w="102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8.72</w:t>
            </w:r>
          </w:p>
        </w:tc>
        <w:tc>
          <w:tcPr>
            <w:tcW w:w="824"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pacing w:line="260" w:lineRule="exact"/>
              <w:jc w:val="right"/>
              <w:textAlignment w:val="center"/>
              <w:rPr>
                <w:rFonts w:ascii="宋体" w:hAnsi="宋体" w:cs="宋体"/>
                <w:kern w:val="0"/>
                <w:sz w:val="22"/>
                <w:szCs w:val="22"/>
                <w:highlight w:val="none"/>
              </w:rPr>
            </w:pPr>
          </w:p>
        </w:tc>
      </w:tr>
      <w:tr>
        <w:tblPrEx>
          <w:tblCellMar>
            <w:top w:w="0" w:type="dxa"/>
            <w:left w:w="108" w:type="dxa"/>
            <w:bottom w:w="0" w:type="dxa"/>
            <w:right w:w="108" w:type="dxa"/>
          </w:tblCellMar>
        </w:tblPrEx>
        <w:trPr>
          <w:trHeight w:val="279" w:hRule="exact"/>
          <w:jc w:val="center"/>
        </w:trPr>
        <w:tc>
          <w:tcPr>
            <w:tcW w:w="71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18</w:t>
            </w:r>
          </w:p>
        </w:tc>
        <w:tc>
          <w:tcPr>
            <w:tcW w:w="112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tabs>
                <w:tab w:val="left" w:pos="651"/>
              </w:tabs>
              <w:spacing w:line="320" w:lineRule="exact"/>
              <w:rPr>
                <w:rFonts w:ascii="仿宋" w:hAnsi="仿宋" w:eastAsia="仿宋" w:cs="仿宋"/>
                <w:kern w:val="0"/>
                <w:sz w:val="20"/>
                <w:szCs w:val="20"/>
                <w:highlight w:val="none"/>
              </w:rPr>
            </w:pPr>
            <w:r>
              <w:rPr>
                <w:rFonts w:hint="eastAsia" w:ascii="仿宋" w:hAnsi="仿宋" w:eastAsia="仿宋" w:cs="仿宋"/>
                <w:kern w:val="0"/>
                <w:sz w:val="20"/>
                <w:szCs w:val="20"/>
                <w:highlight w:val="none"/>
              </w:rPr>
              <w:t>真空采血管（含静脉血样采集针）</w:t>
            </w:r>
          </w:p>
        </w:tc>
        <w:tc>
          <w:tcPr>
            <w:tcW w:w="631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60" w:lineRule="exact"/>
              <w:rPr>
                <w:rFonts w:ascii="仿宋" w:hAnsi="仿宋" w:eastAsia="仿宋" w:cs="仿宋"/>
                <w:sz w:val="20"/>
                <w:szCs w:val="20"/>
                <w:highlight w:val="none"/>
              </w:rPr>
            </w:pPr>
            <w:r>
              <w:rPr>
                <w:rFonts w:hint="eastAsia" w:ascii="仿宋" w:hAnsi="仿宋" w:eastAsia="仿宋" w:cs="仿宋"/>
                <w:sz w:val="20"/>
                <w:szCs w:val="20"/>
                <w:highlight w:val="none"/>
              </w:rPr>
              <w:t>18真空采血管、玻璃、各种规格、各种型号</w:t>
            </w:r>
          </w:p>
        </w:tc>
        <w:tc>
          <w:tcPr>
            <w:tcW w:w="102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0.4861 </w:t>
            </w:r>
          </w:p>
        </w:tc>
        <w:tc>
          <w:tcPr>
            <w:tcW w:w="824"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p>
        </w:tc>
      </w:tr>
      <w:tr>
        <w:tblPrEx>
          <w:tblCellMar>
            <w:top w:w="0" w:type="dxa"/>
            <w:left w:w="108" w:type="dxa"/>
            <w:bottom w:w="0" w:type="dxa"/>
            <w:right w:w="108" w:type="dxa"/>
          </w:tblCellMar>
        </w:tblPrEx>
        <w:trPr>
          <w:trHeight w:val="279" w:hRule="exact"/>
          <w:jc w:val="center"/>
        </w:trPr>
        <w:tc>
          <w:tcPr>
            <w:tcW w:w="71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19</w:t>
            </w:r>
          </w:p>
        </w:tc>
        <w:tc>
          <w:tcPr>
            <w:tcW w:w="11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rPr>
                <w:rFonts w:ascii="仿宋" w:hAnsi="仿宋" w:eastAsia="仿宋" w:cs="仿宋"/>
                <w:kern w:val="0"/>
                <w:sz w:val="20"/>
                <w:szCs w:val="20"/>
                <w:highlight w:val="none"/>
              </w:rPr>
            </w:pPr>
          </w:p>
        </w:tc>
        <w:tc>
          <w:tcPr>
            <w:tcW w:w="631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60" w:lineRule="exact"/>
              <w:rPr>
                <w:rFonts w:ascii="仿宋" w:hAnsi="仿宋" w:eastAsia="仿宋" w:cs="仿宋"/>
                <w:sz w:val="20"/>
                <w:szCs w:val="20"/>
                <w:highlight w:val="none"/>
              </w:rPr>
            </w:pPr>
            <w:r>
              <w:rPr>
                <w:rFonts w:hint="eastAsia" w:ascii="仿宋" w:hAnsi="仿宋" w:eastAsia="仿宋" w:cs="仿宋"/>
                <w:sz w:val="20"/>
                <w:szCs w:val="20"/>
                <w:highlight w:val="none"/>
              </w:rPr>
              <w:t>19真空采血管、PET（聚对苯二甲酸乙二醇酯）、各种规格、各种型号</w:t>
            </w:r>
          </w:p>
        </w:tc>
        <w:tc>
          <w:tcPr>
            <w:tcW w:w="102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0.7895 </w:t>
            </w:r>
          </w:p>
        </w:tc>
        <w:tc>
          <w:tcPr>
            <w:tcW w:w="824"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p>
        </w:tc>
      </w:tr>
      <w:tr>
        <w:tblPrEx>
          <w:tblCellMar>
            <w:top w:w="0" w:type="dxa"/>
            <w:left w:w="108" w:type="dxa"/>
            <w:bottom w:w="0" w:type="dxa"/>
            <w:right w:w="108" w:type="dxa"/>
          </w:tblCellMar>
        </w:tblPrEx>
        <w:trPr>
          <w:trHeight w:val="279" w:hRule="exact"/>
          <w:jc w:val="center"/>
        </w:trPr>
        <w:tc>
          <w:tcPr>
            <w:tcW w:w="71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20</w:t>
            </w:r>
          </w:p>
        </w:tc>
        <w:tc>
          <w:tcPr>
            <w:tcW w:w="11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rPr>
                <w:rFonts w:ascii="仿宋" w:hAnsi="仿宋" w:eastAsia="仿宋" w:cs="仿宋"/>
                <w:kern w:val="0"/>
                <w:sz w:val="20"/>
                <w:szCs w:val="20"/>
                <w:highlight w:val="none"/>
              </w:rPr>
            </w:pPr>
          </w:p>
        </w:tc>
        <w:tc>
          <w:tcPr>
            <w:tcW w:w="631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60" w:lineRule="exact"/>
              <w:rPr>
                <w:rFonts w:ascii="仿宋" w:hAnsi="仿宋" w:eastAsia="仿宋" w:cs="仿宋"/>
                <w:sz w:val="20"/>
                <w:szCs w:val="20"/>
                <w:highlight w:val="none"/>
              </w:rPr>
            </w:pPr>
            <w:r>
              <w:rPr>
                <w:rFonts w:hint="eastAsia" w:ascii="仿宋" w:hAnsi="仿宋" w:eastAsia="仿宋" w:cs="仿宋"/>
                <w:sz w:val="20"/>
                <w:szCs w:val="20"/>
                <w:highlight w:val="none"/>
              </w:rPr>
              <w:t>20静脉血样采集针、软连接、各种规格、各种型号</w:t>
            </w:r>
          </w:p>
        </w:tc>
        <w:tc>
          <w:tcPr>
            <w:tcW w:w="102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0.2739 </w:t>
            </w:r>
          </w:p>
        </w:tc>
        <w:tc>
          <w:tcPr>
            <w:tcW w:w="824"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p>
        </w:tc>
      </w:tr>
      <w:tr>
        <w:tblPrEx>
          <w:tblCellMar>
            <w:top w:w="0" w:type="dxa"/>
            <w:left w:w="108" w:type="dxa"/>
            <w:bottom w:w="0" w:type="dxa"/>
            <w:right w:w="108" w:type="dxa"/>
          </w:tblCellMar>
        </w:tblPrEx>
        <w:trPr>
          <w:trHeight w:val="449" w:hRule="exact"/>
          <w:jc w:val="center"/>
        </w:trPr>
        <w:tc>
          <w:tcPr>
            <w:tcW w:w="71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21</w:t>
            </w:r>
          </w:p>
        </w:tc>
        <w:tc>
          <w:tcPr>
            <w:tcW w:w="11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rPr>
                <w:rFonts w:ascii="仿宋" w:hAnsi="仿宋" w:eastAsia="仿宋" w:cs="仿宋"/>
                <w:kern w:val="0"/>
                <w:sz w:val="20"/>
                <w:szCs w:val="20"/>
                <w:highlight w:val="none"/>
              </w:rPr>
            </w:pPr>
          </w:p>
        </w:tc>
        <w:tc>
          <w:tcPr>
            <w:tcW w:w="631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60" w:lineRule="exact"/>
              <w:rPr>
                <w:rFonts w:ascii="仿宋" w:hAnsi="仿宋" w:eastAsia="仿宋" w:cs="仿宋"/>
                <w:sz w:val="20"/>
                <w:szCs w:val="20"/>
                <w:highlight w:val="none"/>
              </w:rPr>
            </w:pPr>
            <w:r>
              <w:rPr>
                <w:rFonts w:hint="eastAsia" w:ascii="仿宋" w:hAnsi="仿宋" w:eastAsia="仿宋" w:cs="仿宋"/>
                <w:sz w:val="20"/>
                <w:szCs w:val="20"/>
                <w:highlight w:val="none"/>
              </w:rPr>
              <w:t>21静脉血样采集针、硬连接、各种规格、各种型号</w:t>
            </w:r>
          </w:p>
        </w:tc>
        <w:tc>
          <w:tcPr>
            <w:tcW w:w="102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r>
              <w:rPr>
                <w:rFonts w:hint="eastAsia" w:ascii="Nimbus Roman No9 L" w:hAnsi="Nimbus Roman No9 L" w:eastAsia="仿宋" w:cs="仿宋"/>
                <w:kern w:val="0"/>
                <w:sz w:val="20"/>
                <w:szCs w:val="20"/>
                <w:highlight w:val="none"/>
                <w:shd w:val="clear" w:color="auto" w:fill="FFFFFF"/>
              </w:rPr>
              <w:t xml:space="preserve">0.3966 </w:t>
            </w:r>
          </w:p>
        </w:tc>
        <w:tc>
          <w:tcPr>
            <w:tcW w:w="824"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pacing w:line="260" w:lineRule="exact"/>
              <w:jc w:val="right"/>
              <w:textAlignment w:val="center"/>
              <w:rPr>
                <w:rFonts w:hint="eastAsia" w:ascii="Nimbus Roman No9 L" w:hAnsi="Nimbus Roman No9 L" w:eastAsia="仿宋" w:cs="仿宋"/>
                <w:kern w:val="0"/>
                <w:sz w:val="20"/>
                <w:szCs w:val="20"/>
                <w:highlight w:val="none"/>
                <w:shd w:val="clear" w:color="auto" w:fill="FFFFFF"/>
              </w:rPr>
            </w:pPr>
          </w:p>
        </w:tc>
      </w:tr>
    </w:tbl>
    <w:p>
      <w:pPr>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规则四：通过规则一、二、三均未获得拟中选资格的申报企业，若申报价格不高于最高有效申报价格，复活为拟中选企业。</w:t>
      </w:r>
    </w:p>
    <w:p>
      <w:pPr>
        <w:spacing w:line="560" w:lineRule="exact"/>
        <w:ind w:firstLine="640" w:firstLineChars="200"/>
        <w:rPr>
          <w:rFonts w:hAnsi="仿宋_GB2312" w:eastAsia="仿宋_GB2312"/>
          <w:b/>
          <w:bCs/>
          <w:sz w:val="32"/>
          <w:szCs w:val="32"/>
          <w:highlight w:val="none"/>
        </w:rPr>
      </w:pPr>
      <w:r>
        <w:rPr>
          <w:rFonts w:hint="eastAsia" w:hAnsi="仿宋_GB2312" w:eastAsia="仿宋_GB2312"/>
          <w:b/>
          <w:bCs/>
          <w:sz w:val="32"/>
          <w:szCs w:val="32"/>
          <w:highlight w:val="none"/>
        </w:rPr>
        <w:t>3.纠偏机制</w:t>
      </w:r>
    </w:p>
    <w:p>
      <w:pPr>
        <w:widowControl/>
        <w:shd w:val="clear" w:color="auto" w:fill="FFFFFF"/>
        <w:spacing w:line="560" w:lineRule="exact"/>
        <w:ind w:firstLine="640" w:firstLineChars="200"/>
        <w:rPr>
          <w:rFonts w:hAnsi="仿宋_GB2312" w:eastAsia="仿宋_GB2312"/>
          <w:b/>
          <w:bCs/>
          <w:sz w:val="32"/>
          <w:szCs w:val="32"/>
          <w:highlight w:val="none"/>
        </w:rPr>
      </w:pPr>
      <w:r>
        <w:rPr>
          <w:rFonts w:hint="eastAsia" w:hAnsi="仿宋_GB2312" w:eastAsia="仿宋_GB2312"/>
          <w:b/>
          <w:bCs/>
          <w:sz w:val="32"/>
          <w:szCs w:val="32"/>
          <w:highlight w:val="none"/>
        </w:rPr>
        <w:t>（1）申报价格纠偏</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各产品分组按规则一、二、三确定的拟中选企业申报价格从低到高进行排名，去掉最高3个和最低3个企业的申报价格，剩余企业申报价格平均值（中选企业不多于7家直接取平均值）为纠偏基值。拟中选企业的申报价格与纠偏基值相差超过25%的进行纠偏。如接受纠偏的，原拟中选资格保持不变；不接受纠偏的，原拟中选资格视为规则四拟中选资格，原竞价组拟中选资格不进行递补。拟中选企业申报价格与纠偏基值相差小于0.5元的豁免纠偏。</w:t>
      </w:r>
    </w:p>
    <w:p>
      <w:pPr>
        <w:widowControl/>
        <w:shd w:val="clear" w:color="auto" w:fill="FFFFFF"/>
        <w:spacing w:line="560" w:lineRule="exact"/>
        <w:ind w:firstLine="640" w:firstLineChars="200"/>
        <w:rPr>
          <w:rFonts w:hAnsi="仿宋_GB2312" w:eastAsia="仿宋_GB2312"/>
          <w:b/>
          <w:bCs/>
          <w:sz w:val="32"/>
          <w:szCs w:val="32"/>
          <w:highlight w:val="none"/>
        </w:rPr>
      </w:pPr>
      <w:r>
        <w:rPr>
          <w:rFonts w:hint="eastAsia" w:hAnsi="仿宋_GB2312" w:eastAsia="仿宋_GB2312"/>
          <w:b/>
          <w:bCs/>
          <w:sz w:val="32"/>
          <w:szCs w:val="32"/>
          <w:highlight w:val="none"/>
        </w:rPr>
        <w:t>（2）拟中选价格纠偏</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申报产品拟中选价格大于全国最低挂网价格的85%（具体到27位医保编码），需进行拟中选价格纠偏。接受价格纠偏的，原拟中选资格保持不变；不接受价格纠偏的，则取消该产品的拟中选资格，同组其余产品原拟中选资格不变。拟中选价格原则上不高于2024年4月1日以来联盟地区现行最低采购价格。</w:t>
      </w:r>
    </w:p>
    <w:p>
      <w:pPr>
        <w:widowControl/>
        <w:shd w:val="clear" w:color="auto" w:fill="FFFFFF"/>
        <w:spacing w:line="560" w:lineRule="exact"/>
        <w:ind w:firstLine="640" w:firstLineChars="200"/>
        <w:rPr>
          <w:rFonts w:ascii="CESI仿宋-GB2312" w:hAnsi="CESI仿宋-GB2312" w:eastAsia="CESI仿宋-GB2312" w:cs="CESI仿宋-GB2312"/>
          <w:b/>
          <w:bCs/>
          <w:sz w:val="32"/>
          <w:szCs w:val="32"/>
          <w:highlight w:val="none"/>
        </w:rPr>
      </w:pPr>
      <w:r>
        <w:rPr>
          <w:rFonts w:hint="eastAsia" w:ascii="CESI仿宋-GB2312" w:hAnsi="CESI仿宋-GB2312" w:eastAsia="CESI仿宋-GB2312" w:cs="CESI仿宋-GB2312"/>
          <w:b/>
          <w:bCs/>
          <w:sz w:val="32"/>
          <w:szCs w:val="32"/>
          <w:highlight w:val="none"/>
        </w:rPr>
        <w:t>4.拟中选价格</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拟中选价格通过价格公式计算得出。</w:t>
      </w:r>
    </w:p>
    <w:p>
      <w:pPr>
        <w:pStyle w:val="20"/>
        <w:spacing w:line="560" w:lineRule="exact"/>
        <w:ind w:firstLine="320" w:firstLineChars="100"/>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sz w:val="32"/>
          <w:szCs w:val="32"/>
          <w:highlight w:val="none"/>
        </w:rPr>
        <w:t>（1）缝合线产品拟中选价格计算详见表-9-1。</w:t>
      </w:r>
    </w:p>
    <w:p>
      <w:pPr>
        <w:pStyle w:val="20"/>
        <w:spacing w:line="560" w:lineRule="exact"/>
        <w:jc w:val="center"/>
        <w:rPr>
          <w:rFonts w:ascii="Times New Roman" w:hAnsi="仿宋_GB2312" w:eastAsia="仿宋_GB2312" w:cs="Times New Roman"/>
          <w:color w:val="auto"/>
          <w:kern w:val="2"/>
          <w:highlight w:val="none"/>
        </w:rPr>
      </w:pPr>
    </w:p>
    <w:p>
      <w:pPr>
        <w:pStyle w:val="20"/>
        <w:spacing w:line="560" w:lineRule="exact"/>
        <w:jc w:val="center"/>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highlight w:val="none"/>
        </w:rPr>
        <w:t>表-9-1-1</w:t>
      </w:r>
    </w:p>
    <w:tbl>
      <w:tblPr>
        <w:tblStyle w:val="13"/>
        <w:tblW w:w="9072" w:type="dxa"/>
        <w:jc w:val="center"/>
        <w:tblLayout w:type="fixed"/>
        <w:tblCellMar>
          <w:top w:w="0" w:type="dxa"/>
          <w:left w:w="108" w:type="dxa"/>
          <w:bottom w:w="0" w:type="dxa"/>
          <w:right w:w="108" w:type="dxa"/>
        </w:tblCellMar>
      </w:tblPr>
      <w:tblGrid>
        <w:gridCol w:w="690"/>
        <w:gridCol w:w="2078"/>
        <w:gridCol w:w="620"/>
        <w:gridCol w:w="2657"/>
        <w:gridCol w:w="1389"/>
        <w:gridCol w:w="1638"/>
      </w:tblGrid>
      <w:tr>
        <w:tblPrEx>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分组序号</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产品组分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特征序号</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产品特征</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比价系数</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其他系数</w:t>
            </w:r>
          </w:p>
        </w:tc>
      </w:tr>
      <w:tr>
        <w:tblPrEx>
          <w:tblCellMar>
            <w:top w:w="0" w:type="dxa"/>
            <w:left w:w="108" w:type="dxa"/>
            <w:bottom w:w="0" w:type="dxa"/>
            <w:right w:w="108" w:type="dxa"/>
          </w:tblCellMar>
        </w:tblPrEx>
        <w:trPr>
          <w:trHeight w:val="90" w:hRule="atLeast"/>
          <w:jc w:val="center"/>
        </w:trPr>
        <w:tc>
          <w:tcPr>
            <w:tcW w:w="69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20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1可吸收缝合线、天然材质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1针1线</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1.00</w:t>
            </w:r>
          </w:p>
        </w:tc>
        <w:tc>
          <w:tcPr>
            <w:tcW w:w="16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不带针×0.45</w:t>
            </w:r>
          </w:p>
        </w:tc>
      </w:tr>
      <w:tr>
        <w:tblPrEx>
          <w:tblCellMar>
            <w:top w:w="0" w:type="dxa"/>
            <w:left w:w="108" w:type="dxa"/>
            <w:bottom w:w="0" w:type="dxa"/>
            <w:right w:w="108" w:type="dxa"/>
          </w:tblCellMar>
        </w:tblPrEx>
        <w:trPr>
          <w:trHeight w:val="435" w:hRule="atLeast"/>
          <w:jc w:val="center"/>
        </w:trPr>
        <w:tc>
          <w:tcPr>
            <w:tcW w:w="69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p>
        </w:tc>
        <w:tc>
          <w:tcPr>
            <w:tcW w:w="20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1针1线、防刺伤</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1.44</w:t>
            </w:r>
          </w:p>
        </w:tc>
        <w:tc>
          <w:tcPr>
            <w:tcW w:w="163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rPr>
                <w:rFonts w:ascii="仿宋" w:hAnsi="仿宋" w:eastAsia="仿宋" w:cs="仿宋"/>
                <w:b/>
                <w:bCs/>
                <w:kern w:val="0"/>
                <w:sz w:val="20"/>
                <w:szCs w:val="20"/>
                <w:highlight w:val="none"/>
              </w:rPr>
            </w:pPr>
          </w:p>
        </w:tc>
      </w:tr>
      <w:tr>
        <w:tblPrEx>
          <w:tblCellMar>
            <w:top w:w="0" w:type="dxa"/>
            <w:left w:w="108" w:type="dxa"/>
            <w:bottom w:w="0" w:type="dxa"/>
            <w:right w:w="108" w:type="dxa"/>
          </w:tblCellMar>
        </w:tblPrEx>
        <w:trPr>
          <w:trHeight w:val="330" w:hRule="atLeast"/>
          <w:jc w:val="center"/>
        </w:trPr>
        <w:tc>
          <w:tcPr>
            <w:tcW w:w="69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20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2可吸收缝合线、合成材质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1针1线</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1.00</w:t>
            </w:r>
          </w:p>
        </w:tc>
        <w:tc>
          <w:tcPr>
            <w:tcW w:w="16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不带针×0.70；单股×1.94</w:t>
            </w:r>
          </w:p>
        </w:tc>
      </w:tr>
      <w:tr>
        <w:tblPrEx>
          <w:tblCellMar>
            <w:top w:w="0" w:type="dxa"/>
            <w:left w:w="108" w:type="dxa"/>
            <w:bottom w:w="0" w:type="dxa"/>
            <w:right w:w="108" w:type="dxa"/>
          </w:tblCellMar>
        </w:tblPrEx>
        <w:trPr>
          <w:trHeight w:val="90" w:hRule="atLeast"/>
          <w:jc w:val="center"/>
        </w:trPr>
        <w:tc>
          <w:tcPr>
            <w:tcW w:w="690"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p>
        </w:tc>
        <w:tc>
          <w:tcPr>
            <w:tcW w:w="2078" w:type="dxa"/>
            <w:vMerge w:val="continue"/>
            <w:tcBorders>
              <w:left w:val="single" w:color="000000" w:sz="4" w:space="0"/>
              <w:right w:val="single" w:color="000000" w:sz="4" w:space="0"/>
            </w:tcBorders>
            <w:shd w:val="clear" w:color="auto" w:fill="auto"/>
            <w:vAlign w:val="center"/>
          </w:tcPr>
          <w:p>
            <w:pPr>
              <w:widowControl/>
              <w:spacing w:line="280" w:lineRule="exact"/>
              <w:jc w:val="left"/>
              <w:rPr>
                <w:rFonts w:ascii="仿宋" w:hAnsi="仿宋" w:eastAsia="仿宋" w:cs="仿宋"/>
                <w:b/>
                <w:bCs/>
                <w:kern w:val="0"/>
                <w:sz w:val="20"/>
                <w:szCs w:val="20"/>
                <w:highlight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1针1线、含抗菌剂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1.39</w:t>
            </w:r>
          </w:p>
        </w:tc>
        <w:tc>
          <w:tcPr>
            <w:tcW w:w="1638" w:type="dxa"/>
            <w:vMerge w:val="continue"/>
            <w:tcBorders>
              <w:left w:val="single" w:color="000000" w:sz="4" w:space="0"/>
              <w:right w:val="single" w:color="000000" w:sz="4" w:space="0"/>
            </w:tcBorders>
            <w:shd w:val="clear" w:color="auto" w:fill="auto"/>
            <w:vAlign w:val="center"/>
          </w:tcPr>
          <w:p>
            <w:pPr>
              <w:widowControl/>
              <w:spacing w:line="280" w:lineRule="exact"/>
              <w:rPr>
                <w:rFonts w:ascii="仿宋" w:hAnsi="仿宋" w:eastAsia="仿宋" w:cs="仿宋"/>
                <w:b/>
                <w:bCs/>
                <w:kern w:val="0"/>
                <w:sz w:val="20"/>
                <w:szCs w:val="20"/>
                <w:highlight w:val="none"/>
              </w:rPr>
            </w:pPr>
          </w:p>
        </w:tc>
      </w:tr>
      <w:tr>
        <w:tblPrEx>
          <w:tblCellMar>
            <w:top w:w="0" w:type="dxa"/>
            <w:left w:w="108" w:type="dxa"/>
            <w:bottom w:w="0" w:type="dxa"/>
            <w:right w:w="108" w:type="dxa"/>
          </w:tblCellMar>
        </w:tblPrEx>
        <w:trPr>
          <w:trHeight w:val="90" w:hRule="atLeast"/>
          <w:jc w:val="center"/>
        </w:trPr>
        <w:tc>
          <w:tcPr>
            <w:tcW w:w="690"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p>
        </w:tc>
        <w:tc>
          <w:tcPr>
            <w:tcW w:w="2078" w:type="dxa"/>
            <w:vMerge w:val="continue"/>
            <w:tcBorders>
              <w:left w:val="single" w:color="000000" w:sz="4" w:space="0"/>
              <w:right w:val="single" w:color="000000" w:sz="4" w:space="0"/>
            </w:tcBorders>
            <w:shd w:val="clear" w:color="auto" w:fill="auto"/>
            <w:vAlign w:val="center"/>
          </w:tcPr>
          <w:p>
            <w:pPr>
              <w:widowControl/>
              <w:spacing w:line="280" w:lineRule="exact"/>
              <w:jc w:val="left"/>
              <w:rPr>
                <w:rFonts w:ascii="仿宋" w:hAnsi="仿宋" w:eastAsia="仿宋" w:cs="仿宋"/>
                <w:b/>
                <w:bCs/>
                <w:kern w:val="0"/>
                <w:sz w:val="20"/>
                <w:szCs w:val="20"/>
                <w:highlight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1针1线、防刺伤</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1.44</w:t>
            </w:r>
          </w:p>
        </w:tc>
        <w:tc>
          <w:tcPr>
            <w:tcW w:w="1638" w:type="dxa"/>
            <w:vMerge w:val="continue"/>
            <w:tcBorders>
              <w:left w:val="single" w:color="000000" w:sz="4" w:space="0"/>
              <w:right w:val="single" w:color="000000" w:sz="4" w:space="0"/>
            </w:tcBorders>
            <w:shd w:val="clear" w:color="auto" w:fill="auto"/>
            <w:vAlign w:val="center"/>
          </w:tcPr>
          <w:p>
            <w:pPr>
              <w:widowControl/>
              <w:spacing w:line="280" w:lineRule="exact"/>
              <w:rPr>
                <w:rFonts w:ascii="仿宋" w:hAnsi="仿宋" w:eastAsia="仿宋" w:cs="仿宋"/>
                <w:b/>
                <w:bCs/>
                <w:kern w:val="0"/>
                <w:sz w:val="20"/>
                <w:szCs w:val="20"/>
                <w:highlight w:val="none"/>
              </w:rPr>
            </w:pPr>
          </w:p>
        </w:tc>
      </w:tr>
      <w:tr>
        <w:tblPrEx>
          <w:tblCellMar>
            <w:top w:w="0" w:type="dxa"/>
            <w:left w:w="108" w:type="dxa"/>
            <w:bottom w:w="0" w:type="dxa"/>
            <w:right w:w="108" w:type="dxa"/>
          </w:tblCellMar>
        </w:tblPrEx>
        <w:trPr>
          <w:trHeight w:val="90" w:hRule="atLeast"/>
          <w:jc w:val="center"/>
        </w:trPr>
        <w:tc>
          <w:tcPr>
            <w:tcW w:w="690"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p>
        </w:tc>
        <w:tc>
          <w:tcPr>
            <w:tcW w:w="20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left"/>
              <w:rPr>
                <w:rFonts w:ascii="仿宋" w:hAnsi="仿宋" w:eastAsia="仿宋" w:cs="仿宋"/>
                <w:b/>
                <w:bCs/>
                <w:kern w:val="0"/>
                <w:sz w:val="20"/>
                <w:szCs w:val="20"/>
                <w:highlight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1针1线、含抗菌剂+防刺伤</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1.39×1.44</w:t>
            </w:r>
          </w:p>
        </w:tc>
        <w:tc>
          <w:tcPr>
            <w:tcW w:w="1638" w:type="dxa"/>
            <w:vMerge w:val="continue"/>
            <w:tcBorders>
              <w:left w:val="single" w:color="000000" w:sz="4" w:space="0"/>
              <w:right w:val="single" w:color="000000" w:sz="4" w:space="0"/>
            </w:tcBorders>
            <w:shd w:val="clear" w:color="auto" w:fill="auto"/>
            <w:vAlign w:val="center"/>
          </w:tcPr>
          <w:p>
            <w:pPr>
              <w:widowControl/>
              <w:spacing w:line="280" w:lineRule="exact"/>
              <w:rPr>
                <w:rFonts w:ascii="仿宋" w:hAnsi="仿宋" w:eastAsia="仿宋" w:cs="仿宋"/>
                <w:b/>
                <w:bCs/>
                <w:kern w:val="0"/>
                <w:sz w:val="20"/>
                <w:szCs w:val="20"/>
                <w:highlight w:val="none"/>
              </w:rPr>
            </w:pPr>
          </w:p>
        </w:tc>
      </w:tr>
      <w:tr>
        <w:tblPrEx>
          <w:tblCellMar>
            <w:top w:w="0" w:type="dxa"/>
            <w:left w:w="108" w:type="dxa"/>
            <w:bottom w:w="0" w:type="dxa"/>
            <w:right w:w="108" w:type="dxa"/>
          </w:tblCellMar>
        </w:tblPrEx>
        <w:trPr>
          <w:trHeight w:val="90" w:hRule="atLeast"/>
          <w:jc w:val="center"/>
        </w:trPr>
        <w:tc>
          <w:tcPr>
            <w:tcW w:w="69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20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3可吸收缝合线、合成材质、免打结</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1针1线</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w:t>
            </w:r>
          </w:p>
        </w:tc>
        <w:tc>
          <w:tcPr>
            <w:tcW w:w="16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rPr>
                <w:rFonts w:ascii="仿宋" w:hAnsi="仿宋" w:eastAsia="仿宋" w:cs="仿宋"/>
                <w:kern w:val="0"/>
                <w:sz w:val="20"/>
                <w:szCs w:val="20"/>
                <w:highlight w:val="none"/>
              </w:rPr>
            </w:pPr>
            <w:r>
              <w:rPr>
                <w:rFonts w:hint="eastAsia" w:ascii="仿宋" w:hAnsi="仿宋" w:eastAsia="仿宋" w:cs="仿宋"/>
                <w:kern w:val="0"/>
                <w:sz w:val="20"/>
                <w:szCs w:val="20"/>
                <w:highlight w:val="none"/>
              </w:rPr>
              <w:t>不带针×0.81</w:t>
            </w:r>
          </w:p>
        </w:tc>
      </w:tr>
      <w:tr>
        <w:tblPrEx>
          <w:tblCellMar>
            <w:top w:w="0" w:type="dxa"/>
            <w:left w:w="108" w:type="dxa"/>
            <w:bottom w:w="0" w:type="dxa"/>
            <w:right w:w="108" w:type="dxa"/>
          </w:tblCellMar>
        </w:tblPrEx>
        <w:trPr>
          <w:trHeight w:val="90" w:hRule="atLeast"/>
          <w:jc w:val="center"/>
        </w:trPr>
        <w:tc>
          <w:tcPr>
            <w:tcW w:w="690"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p>
        </w:tc>
        <w:tc>
          <w:tcPr>
            <w:tcW w:w="20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1针1线、含抗菌剂</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1.39</w:t>
            </w:r>
          </w:p>
        </w:tc>
        <w:tc>
          <w:tcPr>
            <w:tcW w:w="1638" w:type="dxa"/>
            <w:vMerge w:val="continue"/>
            <w:tcBorders>
              <w:left w:val="single" w:color="000000" w:sz="4" w:space="0"/>
              <w:right w:val="single" w:color="000000" w:sz="4" w:space="0"/>
            </w:tcBorders>
            <w:shd w:val="clear" w:color="auto" w:fill="auto"/>
            <w:vAlign w:val="center"/>
          </w:tcPr>
          <w:p>
            <w:pPr>
              <w:widowControl/>
              <w:spacing w:line="280" w:lineRule="exact"/>
              <w:rPr>
                <w:rFonts w:ascii="仿宋" w:hAnsi="仿宋" w:eastAsia="仿宋" w:cs="仿宋"/>
                <w:kern w:val="0"/>
                <w:sz w:val="20"/>
                <w:szCs w:val="20"/>
                <w:highlight w:val="none"/>
              </w:rPr>
            </w:pPr>
          </w:p>
        </w:tc>
      </w:tr>
      <w:tr>
        <w:tblPrEx>
          <w:tblCellMar>
            <w:top w:w="0" w:type="dxa"/>
            <w:left w:w="108" w:type="dxa"/>
            <w:bottom w:w="0" w:type="dxa"/>
            <w:right w:w="108" w:type="dxa"/>
          </w:tblCellMar>
        </w:tblPrEx>
        <w:trPr>
          <w:trHeight w:val="315" w:hRule="atLeast"/>
          <w:jc w:val="center"/>
        </w:trPr>
        <w:tc>
          <w:tcPr>
            <w:tcW w:w="69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2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4不可吸收缝合线、合成材质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1针1线</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1.00</w:t>
            </w:r>
          </w:p>
        </w:tc>
        <w:tc>
          <w:tcPr>
            <w:tcW w:w="16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不带针×0.52；编织×1.29</w:t>
            </w:r>
          </w:p>
        </w:tc>
      </w:tr>
      <w:tr>
        <w:tblPrEx>
          <w:tblCellMar>
            <w:top w:w="0" w:type="dxa"/>
            <w:left w:w="108" w:type="dxa"/>
            <w:bottom w:w="0" w:type="dxa"/>
            <w:right w:w="108" w:type="dxa"/>
          </w:tblCellMar>
        </w:tblPrEx>
        <w:trPr>
          <w:trHeight w:val="90" w:hRule="atLeast"/>
          <w:jc w:val="center"/>
        </w:trPr>
        <w:tc>
          <w:tcPr>
            <w:tcW w:w="69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p>
        </w:tc>
        <w:tc>
          <w:tcPr>
            <w:tcW w:w="2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rPr>
                <w:rFonts w:ascii="仿宋" w:hAnsi="仿宋" w:eastAsia="仿宋" w:cs="仿宋"/>
                <w:b/>
                <w:bCs/>
                <w:kern w:val="0"/>
                <w:sz w:val="20"/>
                <w:szCs w:val="20"/>
                <w:highlight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1针1线、防渗漏</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1.90</w:t>
            </w:r>
          </w:p>
        </w:tc>
        <w:tc>
          <w:tcPr>
            <w:tcW w:w="1638" w:type="dxa"/>
            <w:vMerge w:val="continue"/>
            <w:tcBorders>
              <w:left w:val="single" w:color="000000" w:sz="4" w:space="0"/>
              <w:right w:val="single" w:color="000000" w:sz="4" w:space="0"/>
            </w:tcBorders>
            <w:shd w:val="clear" w:color="auto" w:fill="auto"/>
            <w:vAlign w:val="center"/>
          </w:tcPr>
          <w:p>
            <w:pPr>
              <w:widowControl/>
              <w:spacing w:line="280" w:lineRule="exact"/>
              <w:rPr>
                <w:rFonts w:ascii="仿宋" w:hAnsi="仿宋" w:eastAsia="仿宋" w:cs="仿宋"/>
                <w:b/>
                <w:bCs/>
                <w:kern w:val="0"/>
                <w:sz w:val="20"/>
                <w:szCs w:val="20"/>
                <w:highlight w:val="none"/>
              </w:rPr>
            </w:pPr>
          </w:p>
        </w:tc>
      </w:tr>
      <w:tr>
        <w:tblPrEx>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5不可吸收缝合线、合成材质、免打结</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1针1线</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不带针×0.59</w:t>
            </w:r>
          </w:p>
        </w:tc>
      </w:tr>
      <w:tr>
        <w:tblPrEx>
          <w:tblCellMar>
            <w:top w:w="0" w:type="dxa"/>
            <w:left w:w="108" w:type="dxa"/>
            <w:bottom w:w="0" w:type="dxa"/>
            <w:right w:w="108" w:type="dxa"/>
          </w:tblCellMar>
        </w:tblPrEx>
        <w:trPr>
          <w:trHeight w:val="5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6不可吸收缝合线、不锈钢材质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1针1线</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仿宋" w:hAnsi="仿宋" w:eastAsia="仿宋" w:cs="仿宋"/>
                <w:b/>
                <w:bCs/>
                <w:kern w:val="0"/>
                <w:sz w:val="20"/>
                <w:szCs w:val="20"/>
                <w:highlight w:val="none"/>
              </w:rPr>
            </w:pPr>
            <w:r>
              <w:rPr>
                <w:rFonts w:hint="eastAsia" w:ascii="仿宋" w:hAnsi="仿宋" w:eastAsia="仿宋" w:cs="仿宋"/>
                <w:kern w:val="0"/>
                <w:sz w:val="20"/>
                <w:szCs w:val="20"/>
                <w:highlight w:val="none"/>
              </w:rPr>
              <w:t>不带针×0.35</w:t>
            </w:r>
          </w:p>
        </w:tc>
      </w:tr>
      <w:tr>
        <w:tblPrEx>
          <w:tblCellMar>
            <w:top w:w="0" w:type="dxa"/>
            <w:left w:w="108" w:type="dxa"/>
            <w:bottom w:w="0" w:type="dxa"/>
            <w:right w:w="108" w:type="dxa"/>
          </w:tblCellMar>
        </w:tblPrEx>
        <w:trPr>
          <w:trHeight w:val="5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7不可吸收缝合线、钛合金材质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1针1线</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仿宋" w:hAnsi="仿宋" w:eastAsia="仿宋" w:cs="仿宋"/>
                <w:kern w:val="0"/>
                <w:sz w:val="20"/>
                <w:szCs w:val="20"/>
                <w:highlight w:val="none"/>
              </w:rPr>
            </w:pPr>
            <w:r>
              <w:rPr>
                <w:rFonts w:hint="eastAsia" w:ascii="仿宋" w:hAnsi="仿宋" w:eastAsia="仿宋" w:cs="仿宋"/>
                <w:kern w:val="0"/>
                <w:sz w:val="20"/>
                <w:szCs w:val="20"/>
                <w:highlight w:val="none"/>
              </w:rPr>
              <w:t>不带针×0.35</w:t>
            </w:r>
          </w:p>
        </w:tc>
      </w:tr>
      <w:tr>
        <w:tblPrEx>
          <w:tblCellMar>
            <w:top w:w="0" w:type="dxa"/>
            <w:left w:w="108" w:type="dxa"/>
            <w:bottom w:w="0" w:type="dxa"/>
            <w:right w:w="108" w:type="dxa"/>
          </w:tblCellMar>
        </w:tblPrEx>
        <w:trPr>
          <w:trHeight w:val="5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8不可吸收缝合线、金属材质、免打结</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1针1线</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仿宋" w:hAnsi="仿宋" w:eastAsia="仿宋" w:cs="仿宋"/>
                <w:kern w:val="0"/>
                <w:sz w:val="20"/>
                <w:szCs w:val="20"/>
                <w:highlight w:val="none"/>
              </w:rPr>
            </w:pPr>
            <w:r>
              <w:rPr>
                <w:rFonts w:hint="eastAsia" w:ascii="仿宋" w:hAnsi="仿宋" w:eastAsia="仿宋" w:cs="仿宋"/>
                <w:kern w:val="0"/>
                <w:sz w:val="20"/>
                <w:szCs w:val="20"/>
                <w:highlight w:val="none"/>
              </w:rPr>
              <w:t>不带针×0.35</w:t>
            </w:r>
          </w:p>
        </w:tc>
      </w:tr>
    </w:tbl>
    <w:p>
      <w:pPr>
        <w:pStyle w:val="20"/>
        <w:spacing w:line="360" w:lineRule="exact"/>
        <w:rPr>
          <w:rFonts w:ascii="Times New Roman" w:hAnsi="仿宋_GB2312" w:eastAsia="仿宋_GB2312" w:cs="Times New Roman"/>
          <w:color w:val="auto"/>
          <w:kern w:val="2"/>
          <w:sz w:val="32"/>
          <w:szCs w:val="32"/>
          <w:highlight w:val="none"/>
        </w:rPr>
      </w:pPr>
    </w:p>
    <w:p>
      <w:pPr>
        <w:pStyle w:val="20"/>
        <w:spacing w:line="36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包装系数详见表-9-1-2。</w:t>
      </w:r>
    </w:p>
    <w:p>
      <w:pPr>
        <w:pStyle w:val="20"/>
        <w:spacing w:line="300" w:lineRule="exact"/>
        <w:jc w:val="center"/>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highlight w:val="none"/>
        </w:rPr>
        <w:t>表-9-1-2</w:t>
      </w:r>
    </w:p>
    <w:tbl>
      <w:tblPr>
        <w:tblStyle w:val="13"/>
        <w:tblW w:w="8565" w:type="dxa"/>
        <w:jc w:val="center"/>
        <w:tblLayout w:type="fixed"/>
        <w:tblCellMar>
          <w:top w:w="0" w:type="dxa"/>
          <w:left w:w="108" w:type="dxa"/>
          <w:bottom w:w="0" w:type="dxa"/>
          <w:right w:w="108" w:type="dxa"/>
        </w:tblCellMar>
      </w:tblPr>
      <w:tblGrid>
        <w:gridCol w:w="1275"/>
        <w:gridCol w:w="3026"/>
        <w:gridCol w:w="2205"/>
        <w:gridCol w:w="2059"/>
      </w:tblGrid>
      <w:tr>
        <w:tblPrEx>
          <w:tblCellMar>
            <w:top w:w="0" w:type="dxa"/>
            <w:left w:w="108" w:type="dxa"/>
            <w:bottom w:w="0" w:type="dxa"/>
            <w:right w:w="108" w:type="dxa"/>
          </w:tblCellMar>
        </w:tblPrEx>
        <w:trPr>
          <w:trHeight w:val="2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产品包装</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包装系数</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2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w:t>
            </w: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1针1线或1线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w:t>
            </w: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2针1线或2针2线</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1.20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N针N线或N线（N≥3）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eastAsia="仿宋"/>
                <w:highlight w:val="none"/>
              </w:rPr>
            </w:pPr>
            <w:r>
              <w:rPr>
                <w:rFonts w:hint="eastAsia" w:ascii="仿宋" w:hAnsi="仿宋" w:eastAsia="仿宋" w:cs="仿宋"/>
                <w:kern w:val="0"/>
                <w:sz w:val="20"/>
                <w:szCs w:val="20"/>
                <w:highlight w:val="none"/>
              </w:rPr>
              <w:t>N×0.52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仿宋" w:hAnsi="仿宋" w:eastAsia="仿宋" w:cs="仿宋"/>
                <w:sz w:val="20"/>
                <w:szCs w:val="20"/>
                <w:highlight w:val="none"/>
              </w:rPr>
            </w:pPr>
            <w:r>
              <w:rPr>
                <w:rFonts w:hint="eastAsia" w:ascii="仿宋" w:hAnsi="仿宋" w:eastAsia="仿宋" w:cs="仿宋"/>
                <w:sz w:val="20"/>
                <w:szCs w:val="20"/>
                <w:highlight w:val="none"/>
              </w:rPr>
              <w:t>N＞20按20计算</w:t>
            </w:r>
          </w:p>
        </w:tc>
      </w:tr>
    </w:tbl>
    <w:p>
      <w:pPr>
        <w:pStyle w:val="20"/>
        <w:spacing w:line="340" w:lineRule="exact"/>
        <w:ind w:firstLine="640" w:firstLineChars="200"/>
        <w:rPr>
          <w:rFonts w:ascii="Times New Roman" w:hAnsi="仿宋_GB2312" w:eastAsia="仿宋_GB2312" w:cs="Times New Roman"/>
          <w:color w:val="auto"/>
          <w:kern w:val="2"/>
          <w:sz w:val="32"/>
          <w:szCs w:val="32"/>
          <w:highlight w:val="none"/>
        </w:rPr>
      </w:pPr>
    </w:p>
    <w:p>
      <w:pPr>
        <w:pStyle w:val="20"/>
        <w:spacing w:line="34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线径系数详见表-9-1-3。</w:t>
      </w:r>
    </w:p>
    <w:p>
      <w:pPr>
        <w:pStyle w:val="20"/>
        <w:spacing w:line="340" w:lineRule="exact"/>
        <w:jc w:val="center"/>
        <w:rPr>
          <w:rFonts w:ascii="Times New Roman" w:hAnsi="仿宋_GB2312" w:eastAsia="仿宋_GB2312" w:cs="Times New Roman"/>
          <w:color w:val="auto"/>
          <w:kern w:val="2"/>
          <w:highlight w:val="none"/>
        </w:rPr>
      </w:pPr>
      <w:r>
        <w:rPr>
          <w:rFonts w:hint="eastAsia" w:ascii="宋体" w:hAnsi="宋体" w:eastAsia="宋体" w:cs="宋体"/>
          <w:color w:val="auto"/>
          <w:kern w:val="2"/>
          <w:highlight w:val="none"/>
        </w:rPr>
        <w:t>表</w:t>
      </w:r>
      <w:r>
        <w:rPr>
          <w:rFonts w:hint="eastAsia" w:ascii="Times New Roman" w:hAnsi="仿宋_GB2312" w:eastAsia="仿宋_GB2312" w:cs="Times New Roman"/>
          <w:color w:val="auto"/>
          <w:kern w:val="2"/>
          <w:highlight w:val="none"/>
        </w:rPr>
        <w:t>-9-1-3</w:t>
      </w:r>
    </w:p>
    <w:tbl>
      <w:tblPr>
        <w:tblStyle w:val="13"/>
        <w:tblW w:w="8685" w:type="dxa"/>
        <w:jc w:val="center"/>
        <w:tblLayout w:type="fixed"/>
        <w:tblCellMar>
          <w:top w:w="0" w:type="dxa"/>
          <w:left w:w="108" w:type="dxa"/>
          <w:bottom w:w="0" w:type="dxa"/>
          <w:right w:w="108" w:type="dxa"/>
        </w:tblCellMar>
      </w:tblPr>
      <w:tblGrid>
        <w:gridCol w:w="765"/>
        <w:gridCol w:w="3960"/>
        <w:gridCol w:w="1980"/>
        <w:gridCol w:w="1980"/>
      </w:tblGrid>
      <w:tr>
        <w:tblPrEx>
          <w:tblCellMar>
            <w:top w:w="0" w:type="dxa"/>
            <w:left w:w="108" w:type="dxa"/>
            <w:bottom w:w="0" w:type="dxa"/>
            <w:right w:w="108" w:type="dxa"/>
          </w:tblCellMar>
        </w:tblPrEx>
        <w:trPr>
          <w:trHeight w:val="270" w:hRule="atLeast"/>
          <w:jc w:val="center"/>
        </w:trPr>
        <w:tc>
          <w:tcPr>
            <w:tcW w:w="7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序号</w:t>
            </w:r>
          </w:p>
        </w:tc>
        <w:tc>
          <w:tcPr>
            <w:tcW w:w="39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采购产品</w:t>
            </w:r>
          </w:p>
        </w:tc>
        <w:tc>
          <w:tcPr>
            <w:tcW w:w="19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线径</w:t>
            </w:r>
          </w:p>
        </w:tc>
        <w:tc>
          <w:tcPr>
            <w:tcW w:w="19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线径系数</w:t>
            </w:r>
          </w:p>
        </w:tc>
      </w:tr>
      <w:tr>
        <w:tblPrEx>
          <w:tblCellMar>
            <w:top w:w="0" w:type="dxa"/>
            <w:left w:w="108" w:type="dxa"/>
            <w:bottom w:w="0" w:type="dxa"/>
            <w:right w:w="108" w:type="dxa"/>
          </w:tblCellMar>
        </w:tblPrEx>
        <w:trPr>
          <w:trHeight w:val="270" w:hRule="atLeast"/>
          <w:jc w:val="center"/>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2可吸收缝合线、合成材质</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6/0#及以上</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w:t>
            </w:r>
          </w:p>
        </w:tc>
      </w:tr>
      <w:tr>
        <w:tblPrEx>
          <w:tblCellMar>
            <w:top w:w="0" w:type="dxa"/>
            <w:left w:w="108" w:type="dxa"/>
            <w:bottom w:w="0" w:type="dxa"/>
            <w:right w:w="108" w:type="dxa"/>
          </w:tblCellMar>
        </w:tblPrEx>
        <w:trPr>
          <w:trHeight w:val="270" w:hRule="atLeast"/>
          <w:jc w:val="center"/>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p>
        </w:tc>
        <w:tc>
          <w:tcPr>
            <w:tcW w:w="3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7/0#-9/0#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1.48</w:t>
            </w:r>
          </w:p>
        </w:tc>
      </w:tr>
      <w:tr>
        <w:tblPrEx>
          <w:tblCellMar>
            <w:top w:w="0" w:type="dxa"/>
            <w:left w:w="108" w:type="dxa"/>
            <w:bottom w:w="0" w:type="dxa"/>
            <w:right w:w="108" w:type="dxa"/>
          </w:tblCellMar>
        </w:tblPrEx>
        <w:trPr>
          <w:trHeight w:val="270" w:hRule="atLeast"/>
          <w:jc w:val="center"/>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p>
        </w:tc>
        <w:tc>
          <w:tcPr>
            <w:tcW w:w="3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10/0#及以下</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1.66</w:t>
            </w:r>
          </w:p>
        </w:tc>
      </w:tr>
      <w:tr>
        <w:tblPrEx>
          <w:tblCellMar>
            <w:top w:w="0" w:type="dxa"/>
            <w:left w:w="108" w:type="dxa"/>
            <w:bottom w:w="0" w:type="dxa"/>
            <w:right w:w="108" w:type="dxa"/>
          </w:tblCellMar>
        </w:tblPrEx>
        <w:trPr>
          <w:trHeight w:val="270" w:hRule="atLeast"/>
          <w:jc w:val="center"/>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4不可吸收缝合线、合成材质</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6/0#及以上</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w:t>
            </w:r>
          </w:p>
        </w:tc>
      </w:tr>
      <w:tr>
        <w:tblPrEx>
          <w:tblCellMar>
            <w:top w:w="0" w:type="dxa"/>
            <w:left w:w="108" w:type="dxa"/>
            <w:bottom w:w="0" w:type="dxa"/>
            <w:right w:w="108" w:type="dxa"/>
          </w:tblCellMar>
        </w:tblPrEx>
        <w:trPr>
          <w:trHeight w:val="270" w:hRule="atLeast"/>
          <w:jc w:val="center"/>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p>
        </w:tc>
        <w:tc>
          <w:tcPr>
            <w:tcW w:w="3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7/0#-9/0#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1.44</w:t>
            </w:r>
          </w:p>
        </w:tc>
      </w:tr>
      <w:tr>
        <w:tblPrEx>
          <w:tblCellMar>
            <w:top w:w="0" w:type="dxa"/>
            <w:left w:w="108" w:type="dxa"/>
            <w:bottom w:w="0" w:type="dxa"/>
            <w:right w:w="108" w:type="dxa"/>
          </w:tblCellMar>
        </w:tblPrEx>
        <w:trPr>
          <w:trHeight w:val="270" w:hRule="atLeast"/>
          <w:jc w:val="center"/>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p>
        </w:tc>
        <w:tc>
          <w:tcPr>
            <w:tcW w:w="3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10/0#及以下</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1.62</w:t>
            </w:r>
          </w:p>
        </w:tc>
      </w:tr>
    </w:tbl>
    <w:p>
      <w:pPr>
        <w:pStyle w:val="20"/>
        <w:spacing w:line="56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价格公式：拟中选价格</w:t>
      </w:r>
      <w:r>
        <w:rPr>
          <w:rFonts w:hint="eastAsia" w:ascii="Times New Roman" w:hAnsi="Times New Roman" w:eastAsia="仿宋_GB2312" w:cs="Times New Roman"/>
          <w:color w:val="auto"/>
          <w:kern w:val="2"/>
          <w:sz w:val="32"/>
          <w:szCs w:val="32"/>
          <w:highlight w:val="none"/>
        </w:rPr>
        <w:t>=申报单元的</w:t>
      </w:r>
      <w:r>
        <w:rPr>
          <w:rFonts w:hint="eastAsia" w:ascii="Times New Roman" w:hAnsi="仿宋_GB2312" w:eastAsia="仿宋_GB2312" w:cs="Times New Roman"/>
          <w:color w:val="auto"/>
          <w:kern w:val="2"/>
          <w:sz w:val="32"/>
          <w:szCs w:val="32"/>
          <w:highlight w:val="none"/>
        </w:rPr>
        <w:t>申报价格</w:t>
      </w:r>
      <w:r>
        <w:rPr>
          <w:rFonts w:ascii="Times New Roman" w:hAnsi="Times New Roman" w:eastAsia="仿宋_GB2312" w:cs="Times New Roman"/>
          <w:color w:val="auto"/>
          <w:kern w:val="2"/>
          <w:sz w:val="32"/>
          <w:szCs w:val="32"/>
          <w:highlight w:val="none"/>
        </w:rPr>
        <w:t>×</w:t>
      </w:r>
      <w:r>
        <w:rPr>
          <w:rFonts w:hint="eastAsia" w:ascii="Times New Roman" w:hAnsi="仿宋_GB2312" w:eastAsia="仿宋_GB2312" w:cs="Times New Roman"/>
          <w:color w:val="auto"/>
          <w:kern w:val="2"/>
          <w:sz w:val="32"/>
          <w:szCs w:val="32"/>
          <w:highlight w:val="none"/>
        </w:rPr>
        <w:t>比价系数</w:t>
      </w:r>
      <w:r>
        <w:rPr>
          <w:rFonts w:ascii="Times New Roman" w:hAnsi="Times New Roman" w:eastAsia="仿宋_GB2312" w:cs="Times New Roman"/>
          <w:color w:val="auto"/>
          <w:kern w:val="2"/>
          <w:sz w:val="32"/>
          <w:szCs w:val="32"/>
          <w:highlight w:val="none"/>
        </w:rPr>
        <w:t>×</w:t>
      </w:r>
      <w:r>
        <w:rPr>
          <w:rFonts w:hint="eastAsia" w:ascii="Times New Roman" w:hAnsi="仿宋_GB2312" w:eastAsia="仿宋_GB2312" w:cs="Times New Roman"/>
          <w:color w:val="auto"/>
          <w:kern w:val="2"/>
          <w:sz w:val="32"/>
          <w:szCs w:val="32"/>
          <w:highlight w:val="none"/>
        </w:rPr>
        <w:t>其他系数</w:t>
      </w:r>
      <w:r>
        <w:rPr>
          <w:rFonts w:ascii="Times New Roman" w:hAnsi="Times New Roman" w:eastAsia="仿宋_GB2312" w:cs="Times New Roman"/>
          <w:color w:val="auto"/>
          <w:kern w:val="2"/>
          <w:sz w:val="32"/>
          <w:szCs w:val="32"/>
          <w:highlight w:val="none"/>
        </w:rPr>
        <w:t>×</w:t>
      </w:r>
      <w:r>
        <w:rPr>
          <w:rFonts w:hint="eastAsia" w:ascii="Times New Roman" w:hAnsi="仿宋_GB2312" w:eastAsia="仿宋_GB2312" w:cs="Times New Roman"/>
          <w:color w:val="auto"/>
          <w:kern w:val="2"/>
          <w:sz w:val="32"/>
          <w:szCs w:val="32"/>
          <w:highlight w:val="none"/>
        </w:rPr>
        <w:t>包装系数</w:t>
      </w:r>
      <w:r>
        <w:rPr>
          <w:rFonts w:ascii="Times New Roman" w:hAnsi="Times New Roman" w:eastAsia="仿宋_GB2312" w:cs="Times New Roman"/>
          <w:color w:val="auto"/>
          <w:kern w:val="2"/>
          <w:sz w:val="32"/>
          <w:szCs w:val="32"/>
          <w:highlight w:val="none"/>
        </w:rPr>
        <w:t>×</w:t>
      </w:r>
      <w:r>
        <w:rPr>
          <w:rFonts w:hint="eastAsia" w:ascii="Times New Roman" w:hAnsi="仿宋_GB2312" w:eastAsia="仿宋_GB2312" w:cs="Times New Roman"/>
          <w:color w:val="auto"/>
          <w:kern w:val="2"/>
          <w:sz w:val="32"/>
          <w:szCs w:val="32"/>
          <w:highlight w:val="none"/>
        </w:rPr>
        <w:t>线径系数。</w:t>
      </w:r>
    </w:p>
    <w:p>
      <w:pPr>
        <w:pStyle w:val="20"/>
        <w:spacing w:line="560" w:lineRule="exact"/>
        <w:ind w:firstLine="320" w:firstLineChars="1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（2）注射器（带针）所有产品中选价格计算详见表-9-2。</w:t>
      </w:r>
    </w:p>
    <w:p>
      <w:pPr>
        <w:pStyle w:val="20"/>
        <w:spacing w:line="560" w:lineRule="exact"/>
        <w:jc w:val="center"/>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highlight w:val="none"/>
        </w:rPr>
        <w:t>表-9-2</w:t>
      </w:r>
    </w:p>
    <w:tbl>
      <w:tblPr>
        <w:tblStyle w:val="13"/>
        <w:tblW w:w="9027" w:type="dxa"/>
        <w:jc w:val="center"/>
        <w:tblLayout w:type="fixed"/>
        <w:tblCellMar>
          <w:top w:w="0" w:type="dxa"/>
          <w:left w:w="108" w:type="dxa"/>
          <w:bottom w:w="0" w:type="dxa"/>
          <w:right w:w="108" w:type="dxa"/>
        </w:tblCellMar>
      </w:tblPr>
      <w:tblGrid>
        <w:gridCol w:w="630"/>
        <w:gridCol w:w="2205"/>
        <w:gridCol w:w="645"/>
        <w:gridCol w:w="2767"/>
        <w:gridCol w:w="770"/>
        <w:gridCol w:w="2010"/>
      </w:tblGrid>
      <w:tr>
        <w:tblPrEx>
          <w:tblCellMar>
            <w:top w:w="0" w:type="dxa"/>
            <w:left w:w="108" w:type="dxa"/>
            <w:bottom w:w="0" w:type="dxa"/>
            <w:right w:w="108"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分组序号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产品组分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特征序号</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产品特征</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比价系数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其他系数</w:t>
            </w:r>
          </w:p>
        </w:tc>
      </w:tr>
      <w:tr>
        <w:tblPrEx>
          <w:tblCellMar>
            <w:top w:w="0" w:type="dxa"/>
            <w:left w:w="108" w:type="dxa"/>
            <w:bottom w:w="0" w:type="dxa"/>
            <w:right w:w="108" w:type="dxa"/>
          </w:tblCellMar>
        </w:tblPrEx>
        <w:trPr>
          <w:trHeight w:val="29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9</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9注射器（带针）、各种类型、各种规格。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15</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sz w:val="20"/>
                <w:szCs w:val="20"/>
                <w:highlight w:val="none"/>
              </w:rPr>
              <w:t>≤5ml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0.47</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防针刺型+0.24元；自毁式+0.24元；</w:t>
            </w:r>
          </w:p>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低阻力+0.24元（三者不兼得）</w:t>
            </w:r>
          </w:p>
        </w:tc>
      </w:tr>
      <w:tr>
        <w:tblPrEx>
          <w:tblCellMar>
            <w:top w:w="0" w:type="dxa"/>
            <w:left w:w="108" w:type="dxa"/>
            <w:bottom w:w="0" w:type="dxa"/>
            <w:right w:w="108" w:type="dxa"/>
          </w:tblCellMar>
        </w:tblPrEx>
        <w:trPr>
          <w:trHeight w:val="22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16</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0.68</w:t>
            </w: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17</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20ml、30ml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w:t>
            </w: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18</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50ml、60ml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1.96</w:t>
            </w: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restart"/>
            <w:tcBorders>
              <w:top w:val="single" w:color="000000" w:sz="4" w:space="0"/>
              <w:left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w:t>
            </w:r>
          </w:p>
        </w:tc>
        <w:tc>
          <w:tcPr>
            <w:tcW w:w="2205" w:type="dxa"/>
            <w:vMerge w:val="restart"/>
            <w:tcBorders>
              <w:top w:val="single" w:color="000000" w:sz="4" w:space="0"/>
              <w:left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r>
              <w:rPr>
                <w:rFonts w:hint="eastAsia" w:ascii="仿宋" w:hAnsi="仿宋" w:eastAsia="仿宋" w:cs="仿宋"/>
                <w:sz w:val="20"/>
                <w:szCs w:val="20"/>
                <w:highlight w:val="none"/>
              </w:rPr>
              <w:t>10避光注射器（带针）、各种类型、各种规格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19</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sz w:val="20"/>
                <w:szCs w:val="20"/>
                <w:highlight w:val="none"/>
              </w:rPr>
              <w:t>≤5ml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0.47</w:t>
            </w:r>
          </w:p>
        </w:tc>
        <w:tc>
          <w:tcPr>
            <w:tcW w:w="2010" w:type="dxa"/>
            <w:vMerge w:val="restart"/>
            <w:tcBorders>
              <w:top w:val="single" w:color="000000" w:sz="4" w:space="0"/>
              <w:left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continue"/>
            <w:tcBorders>
              <w:left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left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20</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0.68</w:t>
            </w:r>
          </w:p>
        </w:tc>
        <w:tc>
          <w:tcPr>
            <w:tcW w:w="2010" w:type="dxa"/>
            <w:vMerge w:val="continue"/>
            <w:tcBorders>
              <w:left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continue"/>
            <w:tcBorders>
              <w:left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left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21</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20ml、30ml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1.00</w:t>
            </w:r>
          </w:p>
        </w:tc>
        <w:tc>
          <w:tcPr>
            <w:tcW w:w="2010" w:type="dxa"/>
            <w:vMerge w:val="continue"/>
            <w:tcBorders>
              <w:left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continue"/>
            <w:tcBorders>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22</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50ml、60ml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1.96</w:t>
            </w: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restart"/>
            <w:tcBorders>
              <w:top w:val="single" w:color="000000" w:sz="4" w:space="0"/>
              <w:left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11</w:t>
            </w:r>
          </w:p>
        </w:tc>
        <w:tc>
          <w:tcPr>
            <w:tcW w:w="220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11泵用注射器、各种类型、各种规格。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23</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≤30ml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0.83</w:t>
            </w:r>
          </w:p>
        </w:tc>
        <w:tc>
          <w:tcPr>
            <w:tcW w:w="201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continue"/>
            <w:tcBorders>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24</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50ml、60ml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1.00</w:t>
            </w:r>
          </w:p>
        </w:tc>
        <w:tc>
          <w:tcPr>
            <w:tcW w:w="2010" w:type="dxa"/>
            <w:vMerge w:val="continue"/>
            <w:tcBorders>
              <w:left w:val="single" w:color="000000" w:sz="4" w:space="0"/>
              <w:bottom w:val="single" w:color="000000" w:sz="4" w:space="0"/>
              <w:right w:val="single" w:color="000000" w:sz="4" w:space="0"/>
            </w:tcBorders>
            <w:shd w:val="clear" w:color="auto" w:fill="auto"/>
            <w:noWrap/>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restart"/>
            <w:tcBorders>
              <w:top w:val="single" w:color="000000" w:sz="4" w:space="0"/>
              <w:left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12</w:t>
            </w:r>
          </w:p>
        </w:tc>
        <w:tc>
          <w:tcPr>
            <w:tcW w:w="2205" w:type="dxa"/>
            <w:vMerge w:val="restart"/>
            <w:tcBorders>
              <w:top w:val="single" w:color="000000" w:sz="4" w:space="0"/>
              <w:left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r>
              <w:rPr>
                <w:rFonts w:hint="eastAsia" w:ascii="仿宋" w:hAnsi="仿宋" w:eastAsia="仿宋" w:cs="仿宋"/>
                <w:sz w:val="20"/>
                <w:szCs w:val="20"/>
                <w:highlight w:val="none"/>
              </w:rPr>
              <w:t>12避光泵用注射器、各种类型、各种规格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25</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≤30ml</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0.83</w:t>
            </w:r>
          </w:p>
        </w:tc>
        <w:tc>
          <w:tcPr>
            <w:tcW w:w="2010" w:type="dxa"/>
            <w:vMerge w:val="restart"/>
            <w:tcBorders>
              <w:top w:val="single" w:color="000000" w:sz="4" w:space="0"/>
              <w:left w:val="single" w:color="000000" w:sz="4" w:space="0"/>
              <w:right w:val="single" w:color="000000" w:sz="4" w:space="0"/>
            </w:tcBorders>
            <w:shd w:val="clear" w:color="auto" w:fill="auto"/>
            <w:noWrap/>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continue"/>
            <w:tcBorders>
              <w:left w:val="single" w:color="000000" w:sz="4" w:space="0"/>
              <w:bottom w:val="single" w:color="auto"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left w:val="single" w:color="000000" w:sz="4" w:space="0"/>
              <w:bottom w:val="single" w:color="auto"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26</w:t>
            </w:r>
          </w:p>
        </w:tc>
        <w:tc>
          <w:tcPr>
            <w:tcW w:w="276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50ml、60ml</w:t>
            </w:r>
          </w:p>
        </w:tc>
        <w:tc>
          <w:tcPr>
            <w:tcW w:w="77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1.00</w:t>
            </w:r>
          </w:p>
        </w:tc>
        <w:tc>
          <w:tcPr>
            <w:tcW w:w="2010" w:type="dxa"/>
            <w:vMerge w:val="continue"/>
            <w:tcBorders>
              <w:left w:val="single" w:color="000000" w:sz="4" w:space="0"/>
              <w:bottom w:val="single" w:color="auto" w:sz="4" w:space="0"/>
              <w:right w:val="single" w:color="000000" w:sz="4" w:space="0"/>
            </w:tcBorders>
            <w:shd w:val="clear" w:color="auto" w:fill="auto"/>
            <w:noWrap/>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345" w:hRule="atLeast"/>
          <w:jc w:val="center"/>
        </w:trPr>
        <w:tc>
          <w:tcPr>
            <w:tcW w:w="6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13</w:t>
            </w:r>
          </w:p>
        </w:tc>
        <w:tc>
          <w:tcPr>
            <w:tcW w:w="2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13无芯杆溶药注射器、各种类型、各种规格。</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27</w:t>
            </w:r>
          </w:p>
        </w:tc>
        <w:tc>
          <w:tcPr>
            <w:tcW w:w="27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≤30ml</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1.00</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280" w:lineRule="exac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355" w:hRule="atLeast"/>
          <w:jc w:val="center"/>
        </w:trPr>
        <w:tc>
          <w:tcPr>
            <w:tcW w:w="6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textAlignment w:val="center"/>
              <w:rPr>
                <w:rFonts w:ascii="仿宋" w:hAnsi="仿宋" w:eastAsia="仿宋" w:cs="仿宋"/>
                <w:kern w:val="0"/>
                <w:sz w:val="20"/>
                <w:szCs w:val="20"/>
                <w:highlight w:val="none"/>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28</w:t>
            </w:r>
          </w:p>
        </w:tc>
        <w:tc>
          <w:tcPr>
            <w:tcW w:w="27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50ml、60ml</w:t>
            </w:r>
          </w:p>
        </w:tc>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1.14</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280" w:lineRule="exac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355" w:hRule="atLeast"/>
          <w:jc w:val="center"/>
        </w:trPr>
        <w:tc>
          <w:tcPr>
            <w:tcW w:w="902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b/>
                <w:bCs/>
                <w:kern w:val="0"/>
                <w:sz w:val="20"/>
                <w:szCs w:val="20"/>
                <w:highlight w:val="none"/>
              </w:rPr>
              <w:t>注：表中未明确的容量规格以容量最接近的较低的比较系数计算。</w:t>
            </w:r>
          </w:p>
        </w:tc>
      </w:tr>
    </w:tbl>
    <w:p>
      <w:pPr>
        <w:pStyle w:val="20"/>
        <w:spacing w:line="56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价格公式：拟中选价格=申报单元的申报价格</w:t>
      </w:r>
      <w:r>
        <w:rPr>
          <w:rFonts w:ascii="Times New Roman" w:hAnsi="Times New Roman" w:eastAsia="仿宋_GB2312" w:cs="Times New Roman"/>
          <w:color w:val="auto"/>
          <w:kern w:val="2"/>
          <w:sz w:val="32"/>
          <w:szCs w:val="32"/>
          <w:highlight w:val="none"/>
        </w:rPr>
        <w:t>×</w:t>
      </w:r>
      <w:r>
        <w:rPr>
          <w:rFonts w:hint="eastAsia" w:ascii="Times New Roman" w:hAnsi="仿宋_GB2312" w:eastAsia="仿宋_GB2312" w:cs="Times New Roman"/>
          <w:color w:val="auto"/>
          <w:kern w:val="2"/>
          <w:sz w:val="32"/>
          <w:szCs w:val="32"/>
          <w:highlight w:val="none"/>
        </w:rPr>
        <w:t>比价系数+其他系数（如有）。</w:t>
      </w:r>
    </w:p>
    <w:p>
      <w:pPr>
        <w:pStyle w:val="20"/>
        <w:spacing w:line="560" w:lineRule="exact"/>
        <w:ind w:firstLine="640" w:firstLineChars="200"/>
        <w:rPr>
          <w:rFonts w:ascii="宋体" w:hAnsi="宋体" w:eastAsia="宋体" w:cs="宋体"/>
          <w:color w:val="auto"/>
          <w:kern w:val="2"/>
          <w:sz w:val="32"/>
          <w:szCs w:val="32"/>
          <w:highlight w:val="none"/>
        </w:rPr>
      </w:pPr>
      <w:r>
        <w:rPr>
          <w:rFonts w:hint="eastAsia" w:ascii="Times New Roman" w:hAnsi="仿宋_GB2312" w:eastAsia="仿宋_GB2312" w:cs="Times New Roman"/>
          <w:color w:val="auto"/>
          <w:kern w:val="2"/>
          <w:sz w:val="32"/>
          <w:szCs w:val="32"/>
          <w:highlight w:val="none"/>
        </w:rPr>
        <w:t>（3）泵用输液器所有产品中选价格计算详见表-9-3</w:t>
      </w:r>
      <w:r>
        <w:rPr>
          <w:rFonts w:hint="eastAsia" w:ascii="宋体" w:hAnsi="宋体" w:eastAsia="宋体" w:cs="宋体"/>
          <w:color w:val="auto"/>
          <w:kern w:val="2"/>
          <w:sz w:val="32"/>
          <w:szCs w:val="32"/>
          <w:highlight w:val="none"/>
        </w:rPr>
        <w:t>。</w:t>
      </w:r>
    </w:p>
    <w:p>
      <w:pPr>
        <w:pStyle w:val="20"/>
        <w:spacing w:line="560" w:lineRule="exact"/>
        <w:jc w:val="center"/>
        <w:rPr>
          <w:rFonts w:ascii="宋体" w:hAnsi="宋体" w:eastAsia="宋体" w:cs="宋体"/>
          <w:color w:val="auto"/>
          <w:kern w:val="2"/>
          <w:highlight w:val="none"/>
        </w:rPr>
      </w:pPr>
      <w:r>
        <w:rPr>
          <w:rFonts w:hint="eastAsia" w:ascii="Times New Roman" w:hAnsi="仿宋_GB2312" w:eastAsia="仿宋_GB2312" w:cs="Times New Roman"/>
          <w:color w:val="auto"/>
          <w:kern w:val="2"/>
          <w:highlight w:val="none"/>
        </w:rPr>
        <w:t>表-9-3</w:t>
      </w:r>
    </w:p>
    <w:tbl>
      <w:tblPr>
        <w:tblStyle w:val="13"/>
        <w:tblW w:w="8670" w:type="dxa"/>
        <w:jc w:val="center"/>
        <w:tblLayout w:type="fixed"/>
        <w:tblCellMar>
          <w:top w:w="0" w:type="dxa"/>
          <w:left w:w="108" w:type="dxa"/>
          <w:bottom w:w="0" w:type="dxa"/>
          <w:right w:w="108" w:type="dxa"/>
        </w:tblCellMar>
      </w:tblPr>
      <w:tblGrid>
        <w:gridCol w:w="630"/>
        <w:gridCol w:w="2062"/>
        <w:gridCol w:w="645"/>
        <w:gridCol w:w="2873"/>
        <w:gridCol w:w="1282"/>
        <w:gridCol w:w="1178"/>
      </w:tblGrid>
      <w:tr>
        <w:tblPrEx>
          <w:tblCellMar>
            <w:top w:w="0" w:type="dxa"/>
            <w:left w:w="108" w:type="dxa"/>
            <w:bottom w:w="0" w:type="dxa"/>
            <w:right w:w="108" w:type="dxa"/>
          </w:tblCellMar>
        </w:tblPrEx>
        <w:trPr>
          <w:trHeight w:val="569"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分组序号</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产品组分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特征序号</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产品特征</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比价系数</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其他系数</w:t>
            </w:r>
          </w:p>
        </w:tc>
      </w:tr>
      <w:tr>
        <w:tblPrEx>
          <w:tblCellMar>
            <w:top w:w="0" w:type="dxa"/>
            <w:left w:w="108" w:type="dxa"/>
            <w:bottom w:w="0" w:type="dxa"/>
            <w:right w:w="108" w:type="dxa"/>
          </w:tblCellMar>
        </w:tblPrEx>
        <w:trPr>
          <w:trHeight w:val="60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14泵用普通输液器、各种规格、各种针型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29</w:t>
            </w:r>
          </w:p>
        </w:tc>
        <w:tc>
          <w:tcPr>
            <w:tcW w:w="2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各种规格、各种针型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15</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15泵用精密输液器、各种规格、各种针型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30</w:t>
            </w:r>
          </w:p>
        </w:tc>
        <w:tc>
          <w:tcPr>
            <w:tcW w:w="2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各种规格、各种针型；过滤孔径：2微米或3微米或5微米</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1.00</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7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31</w:t>
            </w:r>
          </w:p>
        </w:tc>
        <w:tc>
          <w:tcPr>
            <w:tcW w:w="2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各种规格、各种针型；过滤孔径：1.2微米</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1.83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left"/>
              <w:rPr>
                <w:rFonts w:ascii="仿宋" w:hAnsi="仿宋" w:eastAsia="仿宋" w:cs="仿宋"/>
                <w:sz w:val="20"/>
                <w:szCs w:val="20"/>
                <w:highlight w:val="none"/>
              </w:rPr>
            </w:pPr>
          </w:p>
        </w:tc>
      </w:tr>
      <w:tr>
        <w:tblPrEx>
          <w:tblCellMar>
            <w:top w:w="0" w:type="dxa"/>
            <w:left w:w="108" w:type="dxa"/>
            <w:bottom w:w="0" w:type="dxa"/>
            <w:right w:w="108" w:type="dxa"/>
          </w:tblCellMar>
        </w:tblPrEx>
        <w:trPr>
          <w:trHeight w:val="28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32</w:t>
            </w:r>
          </w:p>
        </w:tc>
        <w:tc>
          <w:tcPr>
            <w:tcW w:w="2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各种规格、各种针型；过滤孔径：≤0.22微米</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2.18</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left"/>
              <w:rPr>
                <w:rFonts w:ascii="仿宋" w:hAnsi="仿宋" w:eastAsia="仿宋" w:cs="仿宋"/>
                <w:sz w:val="20"/>
                <w:szCs w:val="20"/>
                <w:highlight w:val="none"/>
              </w:rPr>
            </w:pPr>
          </w:p>
        </w:tc>
      </w:tr>
    </w:tbl>
    <w:p>
      <w:pPr>
        <w:pStyle w:val="20"/>
        <w:spacing w:line="56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价格公式：拟中选价格=申报单元的申报价格</w:t>
      </w:r>
      <w:r>
        <w:rPr>
          <w:rFonts w:ascii="Times New Roman" w:hAnsi="Times New Roman" w:eastAsia="仿宋_GB2312" w:cs="Times New Roman"/>
          <w:color w:val="auto"/>
          <w:kern w:val="2"/>
          <w:sz w:val="32"/>
          <w:szCs w:val="32"/>
          <w:highlight w:val="none"/>
        </w:rPr>
        <w:t>×</w:t>
      </w:r>
      <w:r>
        <w:rPr>
          <w:rFonts w:hint="eastAsia" w:ascii="Times New Roman" w:hAnsi="仿宋_GB2312" w:eastAsia="仿宋_GB2312" w:cs="Times New Roman"/>
          <w:color w:val="auto"/>
          <w:kern w:val="2"/>
          <w:sz w:val="32"/>
          <w:szCs w:val="32"/>
          <w:highlight w:val="none"/>
        </w:rPr>
        <w:t>比价系数。</w:t>
      </w:r>
    </w:p>
    <w:p>
      <w:pPr>
        <w:pStyle w:val="20"/>
        <w:spacing w:line="56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（4）吸氧管所有产品中选价格计算详见表-9-4。</w:t>
      </w:r>
    </w:p>
    <w:p>
      <w:pPr>
        <w:pStyle w:val="20"/>
        <w:spacing w:line="560" w:lineRule="exact"/>
        <w:jc w:val="center"/>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highlight w:val="none"/>
        </w:rPr>
        <w:t>表-9-4</w:t>
      </w:r>
    </w:p>
    <w:tbl>
      <w:tblPr>
        <w:tblStyle w:val="13"/>
        <w:tblW w:w="8760" w:type="dxa"/>
        <w:jc w:val="center"/>
        <w:tblLayout w:type="fixed"/>
        <w:tblCellMar>
          <w:top w:w="0" w:type="dxa"/>
          <w:left w:w="108" w:type="dxa"/>
          <w:bottom w:w="0" w:type="dxa"/>
          <w:right w:w="108" w:type="dxa"/>
        </w:tblCellMar>
      </w:tblPr>
      <w:tblGrid>
        <w:gridCol w:w="675"/>
        <w:gridCol w:w="2070"/>
        <w:gridCol w:w="675"/>
        <w:gridCol w:w="2400"/>
        <w:gridCol w:w="1335"/>
        <w:gridCol w:w="1605"/>
      </w:tblGrid>
      <w:tr>
        <w:tblPrEx>
          <w:tblCellMar>
            <w:top w:w="0" w:type="dxa"/>
            <w:left w:w="108" w:type="dxa"/>
            <w:bottom w:w="0" w:type="dxa"/>
            <w:right w:w="108" w:type="dxa"/>
          </w:tblCellMar>
        </w:tblPrEx>
        <w:trPr>
          <w:trHeight w:val="6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分组序号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产品分组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特征序号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产品特征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比价系数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46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16不带湿化瓶吸氧管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33</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不带湿化瓶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rPr>
                <w:rFonts w:ascii="仿宋" w:hAnsi="仿宋" w:eastAsia="仿宋" w:cs="仿宋"/>
                <w:sz w:val="20"/>
                <w:szCs w:val="20"/>
                <w:highlight w:val="none"/>
              </w:rPr>
            </w:pPr>
            <w:r>
              <w:rPr>
                <w:rFonts w:hint="eastAsia" w:ascii="仿宋" w:hAnsi="仿宋" w:eastAsia="仿宋" w:cs="仿宋"/>
                <w:sz w:val="20"/>
                <w:szCs w:val="20"/>
                <w:highlight w:val="none"/>
              </w:rPr>
              <w:t>带除菌过滤器+1.70元</w:t>
            </w:r>
          </w:p>
        </w:tc>
      </w:tr>
      <w:tr>
        <w:tblPrEx>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17带湿化瓶吸氧管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34</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带湿化瓶吸氧管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rPr>
                <w:rFonts w:ascii="仿宋" w:hAnsi="仿宋" w:eastAsia="仿宋" w:cs="仿宋"/>
                <w:sz w:val="20"/>
                <w:szCs w:val="20"/>
                <w:highlight w:val="none"/>
              </w:rPr>
            </w:pPr>
            <w:r>
              <w:rPr>
                <w:rFonts w:hint="eastAsia" w:ascii="仿宋" w:hAnsi="仿宋" w:eastAsia="仿宋" w:cs="仿宋"/>
                <w:sz w:val="20"/>
                <w:szCs w:val="20"/>
                <w:highlight w:val="none"/>
              </w:rPr>
              <w:t>带除菌过滤器+1.70元</w:t>
            </w:r>
          </w:p>
        </w:tc>
      </w:tr>
    </w:tbl>
    <w:p>
      <w:pPr>
        <w:pStyle w:val="20"/>
        <w:spacing w:line="56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价格公式：拟中选价格=申报单元的申报价格</w:t>
      </w:r>
      <w:r>
        <w:rPr>
          <w:rFonts w:ascii="Times New Roman" w:hAnsi="Times New Roman" w:eastAsia="仿宋_GB2312" w:cs="Times New Roman"/>
          <w:color w:val="auto"/>
          <w:kern w:val="2"/>
          <w:sz w:val="32"/>
          <w:szCs w:val="32"/>
          <w:highlight w:val="none"/>
        </w:rPr>
        <w:t>×</w:t>
      </w:r>
      <w:r>
        <w:rPr>
          <w:rFonts w:hint="eastAsia" w:ascii="Times New Roman" w:hAnsi="仿宋_GB2312" w:eastAsia="仿宋_GB2312" w:cs="Times New Roman"/>
          <w:color w:val="auto"/>
          <w:kern w:val="2"/>
          <w:sz w:val="32"/>
          <w:szCs w:val="32"/>
          <w:highlight w:val="none"/>
        </w:rPr>
        <w:t>比价系数+其他系数（如有）。</w:t>
      </w:r>
    </w:p>
    <w:p>
      <w:pPr>
        <w:pStyle w:val="20"/>
        <w:spacing w:line="56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（5）真空采血管（含静脉血样采集针）所有产品中选价格详见表-9-5。</w:t>
      </w:r>
    </w:p>
    <w:p>
      <w:pPr>
        <w:pStyle w:val="20"/>
        <w:spacing w:line="560" w:lineRule="exact"/>
        <w:jc w:val="center"/>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highlight w:val="none"/>
        </w:rPr>
        <w:t>表-9-5</w:t>
      </w:r>
    </w:p>
    <w:tbl>
      <w:tblPr>
        <w:tblStyle w:val="13"/>
        <w:tblW w:w="8805" w:type="dxa"/>
        <w:jc w:val="center"/>
        <w:tblLayout w:type="fixed"/>
        <w:tblCellMar>
          <w:top w:w="0" w:type="dxa"/>
          <w:left w:w="108" w:type="dxa"/>
          <w:bottom w:w="0" w:type="dxa"/>
          <w:right w:w="108" w:type="dxa"/>
        </w:tblCellMar>
      </w:tblPr>
      <w:tblGrid>
        <w:gridCol w:w="675"/>
        <w:gridCol w:w="2430"/>
        <w:gridCol w:w="683"/>
        <w:gridCol w:w="2407"/>
        <w:gridCol w:w="1301"/>
        <w:gridCol w:w="1309"/>
      </w:tblGrid>
      <w:tr>
        <w:tblPrEx>
          <w:tblCellMar>
            <w:top w:w="0" w:type="dxa"/>
            <w:left w:w="108" w:type="dxa"/>
            <w:bottom w:w="0" w:type="dxa"/>
            <w:right w:w="108" w:type="dxa"/>
          </w:tblCellMar>
        </w:tblPrEx>
        <w:trPr>
          <w:trHeight w:val="56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分组序号</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产品组分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特征序号</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规格（特征、参数）</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比价系数</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rPr>
              <w:t>备注</w:t>
            </w:r>
          </w:p>
        </w:tc>
      </w:tr>
      <w:tr>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18真空采血管、玻璃、各种规格、各种型号</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35</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玻璃、各种规格、各种型号</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带分离胶+0.10元</w:t>
            </w:r>
          </w:p>
        </w:tc>
      </w:tr>
      <w:tr>
        <w:tblPrEx>
          <w:tblCellMar>
            <w:top w:w="0" w:type="dxa"/>
            <w:left w:w="108" w:type="dxa"/>
            <w:bottom w:w="0" w:type="dxa"/>
            <w:right w:w="108" w:type="dxa"/>
          </w:tblCellMar>
        </w:tblPrEx>
        <w:trPr>
          <w:trHeight w:val="9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19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19真空采血管、PET（聚对苯二甲酸乙二醇酯）、各种规格、各种型号。</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36</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PET（聚对苯二甲酸乙二醇酯）、各种规格、各种型号</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带分离胶+0.10元</w:t>
            </w:r>
          </w:p>
        </w:tc>
      </w:tr>
      <w:tr>
        <w:tblPrEx>
          <w:tblCellMar>
            <w:top w:w="0" w:type="dxa"/>
            <w:left w:w="108" w:type="dxa"/>
            <w:bottom w:w="0" w:type="dxa"/>
            <w:right w:w="108" w:type="dxa"/>
          </w:tblCellMar>
        </w:tblPrEx>
        <w:trPr>
          <w:trHeight w:val="64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20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20静脉血样采集针、软连接、各种规格、各种型号</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37</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软连接、普通型、各种规格、各种型号</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1.00</w:t>
            </w:r>
          </w:p>
        </w:tc>
        <w:tc>
          <w:tcPr>
            <w:tcW w:w="130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带持针器+0.10元</w:t>
            </w:r>
          </w:p>
        </w:tc>
      </w:tr>
      <w:tr>
        <w:tblPrEx>
          <w:tblCellMar>
            <w:top w:w="0" w:type="dxa"/>
            <w:left w:w="108" w:type="dxa"/>
            <w:bottom w:w="0" w:type="dxa"/>
            <w:right w:w="108" w:type="dxa"/>
          </w:tblCellMar>
        </w:tblPrEx>
        <w:trPr>
          <w:trHeight w:val="27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eastAsia="仿宋" w:cs="宋体"/>
                <w:sz w:val="22"/>
                <w:szCs w:val="22"/>
                <w:highlight w:val="none"/>
              </w:rPr>
            </w:pPr>
            <w:r>
              <w:rPr>
                <w:rFonts w:hint="eastAsia" w:ascii="仿宋" w:hAnsi="仿宋" w:eastAsia="仿宋" w:cs="仿宋"/>
                <w:sz w:val="20"/>
                <w:szCs w:val="20"/>
                <w:highlight w:val="none"/>
              </w:rPr>
              <w:t>21</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21静脉血样采集针、硬连接、各种规格、各种型号</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38</w:t>
            </w:r>
          </w:p>
        </w:tc>
        <w:tc>
          <w:tcPr>
            <w:tcW w:w="2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left"/>
              <w:textAlignment w:val="center"/>
              <w:rPr>
                <w:rFonts w:ascii="宋体" w:hAnsi="宋体" w:cs="宋体"/>
                <w:sz w:val="22"/>
                <w:szCs w:val="22"/>
                <w:highlight w:val="none"/>
              </w:rPr>
            </w:pPr>
            <w:r>
              <w:rPr>
                <w:rFonts w:hint="eastAsia" w:ascii="仿宋" w:hAnsi="仿宋" w:eastAsia="仿宋" w:cs="仿宋"/>
                <w:kern w:val="0"/>
                <w:sz w:val="20"/>
                <w:szCs w:val="20"/>
                <w:highlight w:val="none"/>
              </w:rPr>
              <w:t>硬连接、各种规格、各种型号</w:t>
            </w:r>
          </w:p>
        </w:tc>
        <w:tc>
          <w:tcPr>
            <w:tcW w:w="1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280" w:lineRule="exact"/>
              <w:jc w:val="center"/>
              <w:textAlignment w:val="center"/>
              <w:rPr>
                <w:rFonts w:ascii="宋体" w:hAnsi="宋体" w:cs="宋体"/>
                <w:sz w:val="22"/>
                <w:szCs w:val="22"/>
                <w:highlight w:val="none"/>
              </w:rPr>
            </w:pPr>
            <w:r>
              <w:rPr>
                <w:rFonts w:hint="eastAsia" w:ascii="仿宋" w:hAnsi="仿宋" w:eastAsia="仿宋" w:cs="仿宋"/>
                <w:kern w:val="0"/>
                <w:sz w:val="20"/>
                <w:szCs w:val="20"/>
                <w:highlight w:val="none"/>
              </w:rPr>
              <w:t>1.00</w:t>
            </w:r>
          </w:p>
        </w:tc>
        <w:tc>
          <w:tcPr>
            <w:tcW w:w="1309" w:type="dxa"/>
            <w:vMerge w:val="continue"/>
            <w:tcBorders>
              <w:left w:val="single" w:color="000000" w:sz="4" w:space="0"/>
              <w:right w:val="single" w:color="000000" w:sz="4" w:space="0"/>
            </w:tcBorders>
            <w:shd w:val="clear" w:color="auto" w:fill="auto"/>
            <w:noWrap/>
            <w:vAlign w:val="center"/>
          </w:tcPr>
          <w:p>
            <w:pPr>
              <w:spacing w:line="280" w:lineRule="exact"/>
              <w:rPr>
                <w:rFonts w:ascii="宋体" w:hAnsi="宋体" w:cs="宋体"/>
                <w:sz w:val="22"/>
                <w:szCs w:val="22"/>
                <w:highlight w:val="none"/>
              </w:rPr>
            </w:pPr>
          </w:p>
        </w:tc>
      </w:tr>
      <w:tr>
        <w:tblPrEx>
          <w:tblCellMar>
            <w:top w:w="0" w:type="dxa"/>
            <w:left w:w="108" w:type="dxa"/>
            <w:bottom w:w="0" w:type="dxa"/>
            <w:right w:w="108" w:type="dxa"/>
          </w:tblCellMar>
        </w:tblPrEx>
        <w:trPr>
          <w:trHeight w:val="59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宋体" w:hAnsi="宋体" w:cs="宋体"/>
                <w:sz w:val="22"/>
                <w:szCs w:val="22"/>
                <w:highlight w:val="none"/>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仿宋" w:hAnsi="仿宋" w:eastAsia="仿宋" w:cs="仿宋"/>
                <w:sz w:val="20"/>
                <w:szCs w:val="20"/>
                <w:highlight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ascii="仿宋" w:hAnsi="仿宋" w:eastAsia="仿宋" w:cs="仿宋"/>
                <w:sz w:val="20"/>
                <w:szCs w:val="20"/>
                <w:highlight w:val="none"/>
              </w:rPr>
            </w:pPr>
            <w:r>
              <w:rPr>
                <w:rFonts w:hint="eastAsia" w:ascii="仿宋" w:hAnsi="仿宋" w:eastAsia="仿宋" w:cs="仿宋"/>
                <w:sz w:val="20"/>
                <w:szCs w:val="20"/>
                <w:highlight w:val="none"/>
              </w:rPr>
              <w:t>39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rPr>
              <w:t>硬连接、各种规格、各种型号、带可视窗</w:t>
            </w:r>
          </w:p>
        </w:tc>
        <w:tc>
          <w:tcPr>
            <w:tcW w:w="1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280" w:lineRule="exact"/>
              <w:jc w:val="center"/>
              <w:textAlignment w:val="center"/>
              <w:rPr>
                <w:rFonts w:ascii="宋体" w:hAnsi="宋体" w:cs="宋体"/>
                <w:sz w:val="22"/>
                <w:szCs w:val="22"/>
                <w:highlight w:val="none"/>
              </w:rPr>
            </w:pPr>
            <w:r>
              <w:rPr>
                <w:rFonts w:hint="eastAsia" w:ascii="仿宋" w:hAnsi="仿宋" w:eastAsia="仿宋" w:cs="仿宋"/>
                <w:kern w:val="0"/>
                <w:sz w:val="20"/>
                <w:szCs w:val="20"/>
                <w:highlight w:val="none"/>
              </w:rPr>
              <w:t>2.12</w:t>
            </w:r>
          </w:p>
        </w:tc>
        <w:tc>
          <w:tcPr>
            <w:tcW w:w="1309" w:type="dxa"/>
            <w:vMerge w:val="continue"/>
            <w:tcBorders>
              <w:left w:val="single" w:color="000000" w:sz="4" w:space="0"/>
              <w:bottom w:val="single" w:color="auto" w:sz="4" w:space="0"/>
              <w:right w:val="single" w:color="000000" w:sz="4" w:space="0"/>
            </w:tcBorders>
            <w:shd w:val="clear" w:color="auto" w:fill="auto"/>
            <w:noWrap/>
            <w:vAlign w:val="center"/>
          </w:tcPr>
          <w:p>
            <w:pPr>
              <w:spacing w:line="280" w:lineRule="exact"/>
              <w:rPr>
                <w:rFonts w:ascii="宋体" w:hAnsi="宋体" w:cs="宋体"/>
                <w:sz w:val="22"/>
                <w:szCs w:val="22"/>
                <w:highlight w:val="none"/>
              </w:rPr>
            </w:pPr>
          </w:p>
        </w:tc>
      </w:tr>
    </w:tbl>
    <w:p>
      <w:pPr>
        <w:pStyle w:val="20"/>
        <w:spacing w:line="560" w:lineRule="exact"/>
        <w:ind w:firstLine="640" w:firstLineChars="200"/>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价格公式：拟中选价格=申报单元的申报价格</w:t>
      </w:r>
      <w:r>
        <w:rPr>
          <w:rFonts w:ascii="Times New Roman" w:hAnsi="Times New Roman" w:eastAsia="仿宋_GB2312" w:cs="Times New Roman"/>
          <w:color w:val="auto"/>
          <w:kern w:val="2"/>
          <w:sz w:val="32"/>
          <w:szCs w:val="32"/>
          <w:highlight w:val="none"/>
        </w:rPr>
        <w:t>×</w:t>
      </w:r>
      <w:r>
        <w:rPr>
          <w:rFonts w:hint="eastAsia" w:ascii="Times New Roman" w:hAnsi="仿宋_GB2312" w:eastAsia="仿宋_GB2312" w:cs="Times New Roman"/>
          <w:color w:val="auto"/>
          <w:kern w:val="2"/>
          <w:sz w:val="32"/>
          <w:szCs w:val="32"/>
          <w:highlight w:val="none"/>
        </w:rPr>
        <w:t>比价系数+其他系数（如有）。</w:t>
      </w:r>
    </w:p>
    <w:p>
      <w:pPr>
        <w:spacing w:line="560" w:lineRule="exact"/>
        <w:ind w:firstLine="640"/>
        <w:rPr>
          <w:rFonts w:ascii="CESI仿宋-GB2312" w:hAnsi="CESI仿宋-GB2312" w:eastAsia="CESI仿宋-GB2312" w:cs="CESI仿宋-GB2312"/>
          <w:b/>
          <w:bCs/>
          <w:sz w:val="32"/>
          <w:szCs w:val="32"/>
          <w:highlight w:val="none"/>
        </w:rPr>
      </w:pPr>
      <w:r>
        <w:rPr>
          <w:rFonts w:hint="eastAsia" w:ascii="CESI仿宋-GB2312" w:hAnsi="CESI仿宋-GB2312" w:eastAsia="CESI仿宋-GB2312" w:cs="CESI仿宋-GB2312"/>
          <w:b/>
          <w:bCs/>
          <w:sz w:val="32"/>
          <w:szCs w:val="32"/>
          <w:highlight w:val="none"/>
        </w:rPr>
        <w:t xml:space="preserve">5.拟中选结果公示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拟中选结果产生后，在招采</w:t>
      </w:r>
      <w:r>
        <w:rPr>
          <w:rFonts w:hint="eastAsia" w:eastAsia="仿宋_GB2312"/>
          <w:snapToGrid w:val="0"/>
          <w:kern w:val="0"/>
          <w:sz w:val="32"/>
          <w:szCs w:val="32"/>
          <w:highlight w:val="none"/>
        </w:rPr>
        <w:t>报名子系统</w:t>
      </w:r>
      <w:r>
        <w:rPr>
          <w:rFonts w:hint="eastAsia" w:hAnsi="仿宋_GB2312" w:eastAsia="仿宋_GB2312"/>
          <w:sz w:val="32"/>
          <w:szCs w:val="32"/>
          <w:highlight w:val="none"/>
        </w:rPr>
        <w:t>公示，由省际联盟采购领导小组接受复核申请。复核申请应在公示期内提出，并依法依规提供合法有效证明材料。未提供合法有效证明材料的，原则上不予受理。经公示，如中选企业被取消中选资格，不递补中选企业，不影响企业排名，不影响其他企业中选。</w:t>
      </w:r>
    </w:p>
    <w:p>
      <w:pPr>
        <w:spacing w:line="560" w:lineRule="exact"/>
        <w:ind w:firstLine="640"/>
        <w:rPr>
          <w:rFonts w:ascii="CESI仿宋-GB2312" w:hAnsi="CESI仿宋-GB2312" w:eastAsia="CESI仿宋-GB2312" w:cs="CESI仿宋-GB2312"/>
          <w:b/>
          <w:bCs/>
          <w:sz w:val="32"/>
          <w:szCs w:val="32"/>
          <w:highlight w:val="none"/>
        </w:rPr>
      </w:pPr>
      <w:r>
        <w:rPr>
          <w:rFonts w:hint="eastAsia" w:ascii="CESI仿宋-GB2312" w:hAnsi="CESI仿宋-GB2312" w:eastAsia="CESI仿宋-GB2312" w:cs="CESI仿宋-GB2312"/>
          <w:b/>
          <w:bCs/>
          <w:sz w:val="32"/>
          <w:szCs w:val="32"/>
          <w:highlight w:val="none"/>
        </w:rPr>
        <w:t>6.中选结果公布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中选结果公示无异议后，由省际联盟采购领导小组在招采</w:t>
      </w:r>
      <w:r>
        <w:rPr>
          <w:rFonts w:hint="eastAsia" w:eastAsia="仿宋_GB2312"/>
          <w:snapToGrid w:val="0"/>
          <w:kern w:val="0"/>
          <w:sz w:val="32"/>
          <w:szCs w:val="32"/>
          <w:highlight w:val="none"/>
        </w:rPr>
        <w:t>报名子系统</w:t>
      </w:r>
      <w:r>
        <w:rPr>
          <w:rFonts w:hint="eastAsia" w:hAnsi="仿宋_GB2312" w:eastAsia="仿宋_GB2312"/>
          <w:sz w:val="32"/>
          <w:szCs w:val="32"/>
          <w:highlight w:val="none"/>
        </w:rPr>
        <w:t>及联盟各地区指定网站公布中选结果。</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五、协议采购量确认</w:t>
      </w:r>
    </w:p>
    <w:p>
      <w:pPr>
        <w:spacing w:line="560" w:lineRule="exact"/>
        <w:ind w:firstLine="640" w:firstLineChars="200"/>
        <w:rPr>
          <w:rFonts w:ascii="楷体" w:hAnsi="楷体" w:eastAsia="楷体" w:cs="CESI仿宋-GB2312"/>
          <w:b/>
          <w:sz w:val="32"/>
          <w:szCs w:val="32"/>
          <w:highlight w:val="none"/>
        </w:rPr>
      </w:pPr>
      <w:r>
        <w:rPr>
          <w:rFonts w:hint="eastAsia" w:ascii="楷体" w:hAnsi="楷体" w:eastAsia="楷体" w:cs="CESI仿宋-GB2312"/>
          <w:b/>
          <w:sz w:val="32"/>
          <w:szCs w:val="32"/>
          <w:highlight w:val="none"/>
        </w:rPr>
        <w:t>（一）协议采购量分配</w:t>
      </w:r>
    </w:p>
    <w:p>
      <w:pPr>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医疗机构协议采购量由固定计入协议采购量和自主选择协议采购量两部分组成，分三步确定每一家医疗机构每一个中选产品的协议量：</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b/>
          <w:bCs/>
          <w:sz w:val="32"/>
          <w:szCs w:val="32"/>
          <w:highlight w:val="none"/>
        </w:rPr>
        <w:t>第一步</w:t>
      </w:r>
      <w:r>
        <w:rPr>
          <w:rFonts w:hint="eastAsia" w:hAnsi="仿宋_GB2312" w:eastAsia="仿宋_GB2312"/>
          <w:sz w:val="32"/>
          <w:szCs w:val="32"/>
          <w:highlight w:val="none"/>
        </w:rPr>
        <w:t>：确定固定计入协议采购量。同一产品分组获得规则一、二中选资格的中选企业，按申报价格从低到高进行排名，梯度分配协议采购量，申报价格相同的排名并列且不占后续排名顺序；同一产品分组获得规则三、四中选资格的中选企业不区分排名；获得规则四中选资格的中选企业不参与剩余协议采购量确定工作。医疗机构已报需求量产品（具体到27位医保编码）若中选，中选产品的固定协议采购量按梯度比例直接分配给对应的中选企业。具体梯度比例详见表-10。</w:t>
      </w:r>
    </w:p>
    <w:p>
      <w:pPr>
        <w:pStyle w:val="20"/>
        <w:jc w:val="center"/>
        <w:rPr>
          <w:rFonts w:ascii="Times New Roman" w:hAnsi="仿宋_GB2312" w:eastAsia="仿宋_GB2312" w:cs="Times New Roman"/>
          <w:color w:val="auto"/>
          <w:kern w:val="2"/>
          <w:highlight w:val="none"/>
        </w:rPr>
      </w:pPr>
      <w:r>
        <w:rPr>
          <w:rFonts w:hint="eastAsia" w:ascii="Times New Roman" w:hAnsi="仿宋_GB2312" w:eastAsia="仿宋_GB2312" w:cs="Times New Roman"/>
          <w:color w:val="auto"/>
          <w:kern w:val="2"/>
          <w:highlight w:val="none"/>
        </w:rPr>
        <w:t>表-10</w:t>
      </w:r>
    </w:p>
    <w:tbl>
      <w:tblPr>
        <w:tblStyle w:val="14"/>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1127"/>
        <w:gridCol w:w="3042"/>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exact"/>
          <w:jc w:val="center"/>
        </w:trPr>
        <w:tc>
          <w:tcPr>
            <w:tcW w:w="2219" w:type="dxa"/>
            <w:vAlign w:val="center"/>
          </w:tcPr>
          <w:p>
            <w:pPr>
              <w:widowControl/>
              <w:spacing w:line="280" w:lineRule="exact"/>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中选企业数</w:t>
            </w:r>
          </w:p>
        </w:tc>
        <w:tc>
          <w:tcPr>
            <w:tcW w:w="1127" w:type="dxa"/>
            <w:vAlign w:val="center"/>
          </w:tcPr>
          <w:p>
            <w:pPr>
              <w:widowControl/>
              <w:spacing w:line="280" w:lineRule="exact"/>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中选排名</w:t>
            </w:r>
          </w:p>
        </w:tc>
        <w:tc>
          <w:tcPr>
            <w:tcW w:w="3042" w:type="dxa"/>
            <w:vAlign w:val="center"/>
          </w:tcPr>
          <w:p>
            <w:pPr>
              <w:widowControl/>
              <w:spacing w:line="280" w:lineRule="exact"/>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中选产品固定计入协议采购量占医疗机构采购需求量比例</w:t>
            </w:r>
          </w:p>
        </w:tc>
        <w:tc>
          <w:tcPr>
            <w:tcW w:w="2217" w:type="dxa"/>
            <w:vAlign w:val="center"/>
          </w:tcPr>
          <w:p>
            <w:pPr>
              <w:widowControl/>
              <w:spacing w:line="280" w:lineRule="exact"/>
              <w:jc w:val="center"/>
              <w:textAlignment w:val="center"/>
              <w:rPr>
                <w:rFonts w:ascii="仿宋" w:hAnsi="仿宋" w:eastAsia="仿宋" w:cs="仿宋"/>
                <w:b/>
                <w:bCs/>
                <w:kern w:val="0"/>
                <w:sz w:val="20"/>
                <w:szCs w:val="20"/>
                <w:highlight w:val="none"/>
              </w:rPr>
            </w:pPr>
            <w:r>
              <w:rPr>
                <w:rFonts w:hint="eastAsia" w:ascii="仿宋" w:hAnsi="仿宋" w:eastAsia="仿宋" w:cs="仿宋"/>
                <w:b/>
                <w:bCs/>
                <w:kern w:val="0"/>
                <w:sz w:val="20"/>
                <w:szCs w:val="20"/>
                <w:highlight w:val="none"/>
              </w:rPr>
              <w:t>中选产品待分配量占医疗机构采购需求量比例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2219" w:type="dxa"/>
            <w:vMerge w:val="restart"/>
            <w:vAlign w:val="center"/>
          </w:tcPr>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规则一、二中选</w:t>
            </w:r>
          </w:p>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中选企业数≤10</w:t>
            </w: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3042" w:type="dxa"/>
            <w:vAlign w:val="center"/>
          </w:tcPr>
          <w:p>
            <w:pPr>
              <w:spacing w:line="280" w:lineRule="exact"/>
              <w:jc w:val="center"/>
              <w:rPr>
                <w:rFonts w:ascii="仿宋" w:hAnsi="仿宋" w:eastAsia="仿宋" w:cs="仿宋"/>
                <w:szCs w:val="21"/>
                <w:highlight w:val="none"/>
              </w:rPr>
            </w:pPr>
            <w:r>
              <w:rPr>
                <w:rFonts w:ascii="仿宋" w:hAnsi="仿宋" w:eastAsia="仿宋" w:cs="仿宋"/>
                <w:szCs w:val="21"/>
                <w:highlight w:val="none"/>
              </w:rPr>
              <w:t>100%</w:t>
            </w:r>
          </w:p>
        </w:tc>
        <w:tc>
          <w:tcPr>
            <w:tcW w:w="221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2219" w:type="dxa"/>
            <w:vMerge w:val="continue"/>
            <w:vAlign w:val="center"/>
          </w:tcPr>
          <w:p>
            <w:pPr>
              <w:spacing w:line="280" w:lineRule="exact"/>
              <w:jc w:val="left"/>
              <w:rPr>
                <w:rFonts w:ascii="仿宋" w:hAnsi="仿宋" w:eastAsia="仿宋" w:cs="仿宋"/>
                <w:szCs w:val="21"/>
                <w:highlight w:val="none"/>
              </w:rPr>
            </w:pP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3042"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70%</w:t>
            </w:r>
          </w:p>
        </w:tc>
        <w:tc>
          <w:tcPr>
            <w:tcW w:w="221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exact"/>
          <w:jc w:val="center"/>
        </w:trPr>
        <w:tc>
          <w:tcPr>
            <w:tcW w:w="2219" w:type="dxa"/>
            <w:vMerge w:val="continue"/>
            <w:vAlign w:val="center"/>
          </w:tcPr>
          <w:p>
            <w:pPr>
              <w:spacing w:line="280" w:lineRule="exact"/>
              <w:jc w:val="left"/>
              <w:rPr>
                <w:rFonts w:ascii="仿宋" w:hAnsi="仿宋" w:eastAsia="仿宋" w:cs="仿宋"/>
                <w:szCs w:val="21"/>
                <w:highlight w:val="none"/>
              </w:rPr>
            </w:pP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3042"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50%</w:t>
            </w:r>
          </w:p>
        </w:tc>
        <w:tc>
          <w:tcPr>
            <w:tcW w:w="221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exact"/>
          <w:jc w:val="center"/>
        </w:trPr>
        <w:tc>
          <w:tcPr>
            <w:tcW w:w="2219" w:type="dxa"/>
            <w:vMerge w:val="restart"/>
            <w:vAlign w:val="center"/>
          </w:tcPr>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10＜规则一、二中选</w:t>
            </w:r>
          </w:p>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中选企业数≤50</w:t>
            </w: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1-5</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100%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2219" w:type="dxa"/>
            <w:vMerge w:val="continue"/>
            <w:vAlign w:val="center"/>
          </w:tcPr>
          <w:p>
            <w:pPr>
              <w:spacing w:line="280" w:lineRule="exact"/>
              <w:jc w:val="left"/>
              <w:rPr>
                <w:rFonts w:ascii="仿宋" w:hAnsi="仿宋" w:eastAsia="仿宋" w:cs="仿宋"/>
                <w:szCs w:val="21"/>
                <w:highlight w:val="none"/>
              </w:rPr>
            </w:pP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6-10</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70%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2219" w:type="dxa"/>
            <w:vMerge w:val="continue"/>
            <w:vAlign w:val="center"/>
          </w:tcPr>
          <w:p>
            <w:pPr>
              <w:spacing w:line="280" w:lineRule="exact"/>
              <w:jc w:val="left"/>
              <w:rPr>
                <w:rFonts w:ascii="仿宋" w:hAnsi="仿宋" w:eastAsia="仿宋" w:cs="仿宋"/>
                <w:szCs w:val="21"/>
                <w:highlight w:val="none"/>
              </w:rPr>
            </w:pP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≥11</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50%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exact"/>
          <w:jc w:val="center"/>
        </w:trPr>
        <w:tc>
          <w:tcPr>
            <w:tcW w:w="2219" w:type="dxa"/>
            <w:vMerge w:val="restart"/>
            <w:vAlign w:val="center"/>
          </w:tcPr>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50＜规则一、二中选</w:t>
            </w:r>
          </w:p>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中选企业数≤100</w:t>
            </w: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1-10</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100%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exact"/>
          <w:jc w:val="center"/>
        </w:trPr>
        <w:tc>
          <w:tcPr>
            <w:tcW w:w="2219" w:type="dxa"/>
            <w:vMerge w:val="continue"/>
            <w:vAlign w:val="center"/>
          </w:tcPr>
          <w:p>
            <w:pPr>
              <w:spacing w:line="280" w:lineRule="exact"/>
              <w:jc w:val="left"/>
              <w:rPr>
                <w:rFonts w:ascii="仿宋" w:hAnsi="仿宋" w:eastAsia="仿宋" w:cs="仿宋"/>
                <w:szCs w:val="21"/>
                <w:highlight w:val="none"/>
              </w:rPr>
            </w:pP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11-20</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70%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2219" w:type="dxa"/>
            <w:vMerge w:val="continue"/>
            <w:vAlign w:val="center"/>
          </w:tcPr>
          <w:p>
            <w:pPr>
              <w:spacing w:line="280" w:lineRule="exact"/>
              <w:jc w:val="left"/>
              <w:rPr>
                <w:rFonts w:ascii="仿宋" w:hAnsi="仿宋" w:eastAsia="仿宋" w:cs="仿宋"/>
                <w:szCs w:val="21"/>
                <w:highlight w:val="none"/>
              </w:rPr>
            </w:pP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≥21</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50%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2219" w:type="dxa"/>
            <w:vMerge w:val="restart"/>
            <w:vAlign w:val="center"/>
          </w:tcPr>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规则一、二中选</w:t>
            </w:r>
          </w:p>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中选企业数＞100</w:t>
            </w: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1-15</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100%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exact"/>
          <w:jc w:val="center"/>
        </w:trPr>
        <w:tc>
          <w:tcPr>
            <w:tcW w:w="2219" w:type="dxa"/>
            <w:vMerge w:val="continue"/>
            <w:vAlign w:val="center"/>
          </w:tcPr>
          <w:p>
            <w:pPr>
              <w:spacing w:line="280" w:lineRule="exact"/>
              <w:jc w:val="left"/>
              <w:rPr>
                <w:rFonts w:ascii="仿宋" w:hAnsi="仿宋" w:eastAsia="仿宋" w:cs="仿宋"/>
                <w:szCs w:val="21"/>
                <w:highlight w:val="none"/>
              </w:rPr>
            </w:pP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16-30</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70%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exact"/>
          <w:jc w:val="center"/>
        </w:trPr>
        <w:tc>
          <w:tcPr>
            <w:tcW w:w="2219" w:type="dxa"/>
            <w:vMerge w:val="continue"/>
            <w:vAlign w:val="center"/>
          </w:tcPr>
          <w:p>
            <w:pPr>
              <w:spacing w:line="280" w:lineRule="exact"/>
              <w:jc w:val="left"/>
              <w:rPr>
                <w:rFonts w:ascii="仿宋" w:hAnsi="仿宋" w:eastAsia="仿宋" w:cs="仿宋"/>
                <w:szCs w:val="21"/>
                <w:highlight w:val="none"/>
              </w:rPr>
            </w:pP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≥31</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50%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219" w:type="dxa"/>
            <w:vAlign w:val="center"/>
          </w:tcPr>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规则三中选企业不区分企业数量</w:t>
            </w: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不区分排名</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30%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219" w:type="dxa"/>
            <w:vAlign w:val="center"/>
          </w:tcPr>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规则四中选企业不区分企业数量</w:t>
            </w:r>
          </w:p>
        </w:tc>
        <w:tc>
          <w:tcPr>
            <w:tcW w:w="1127" w:type="dxa"/>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不区分排名</w:t>
            </w:r>
          </w:p>
        </w:tc>
        <w:tc>
          <w:tcPr>
            <w:tcW w:w="3042"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10%</w:t>
            </w:r>
          </w:p>
        </w:tc>
        <w:tc>
          <w:tcPr>
            <w:tcW w:w="2217" w:type="dxa"/>
            <w:shd w:val="clear" w:color="auto" w:fill="auto"/>
            <w:vAlign w:val="center"/>
          </w:tcPr>
          <w:p>
            <w:pPr>
              <w:spacing w:line="280" w:lineRule="exact"/>
              <w:jc w:val="center"/>
              <w:rPr>
                <w:rFonts w:ascii="仿宋" w:hAnsi="仿宋" w:eastAsia="仿宋" w:cs="仿宋"/>
                <w:szCs w:val="21"/>
                <w:highlight w:val="none"/>
              </w:rPr>
            </w:pPr>
            <w:r>
              <w:rPr>
                <w:rFonts w:hint="eastAsia" w:ascii="仿宋" w:hAnsi="仿宋" w:eastAsia="仿宋" w:cs="仿宋"/>
                <w:szCs w:val="21"/>
                <w:highlight w:val="none"/>
              </w:rPr>
              <w:t>80%</w:t>
            </w:r>
          </w:p>
        </w:tc>
      </w:tr>
    </w:tbl>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b/>
          <w:bCs/>
          <w:color w:val="auto"/>
          <w:kern w:val="2"/>
          <w:sz w:val="32"/>
          <w:szCs w:val="32"/>
          <w:highlight w:val="none"/>
        </w:rPr>
        <w:t>第二步：</w:t>
      </w:r>
      <w:r>
        <w:rPr>
          <w:rFonts w:hint="eastAsia" w:ascii="Times New Roman" w:hAnsi="仿宋_GB2312" w:eastAsia="仿宋_GB2312" w:cs="Times New Roman"/>
          <w:color w:val="auto"/>
          <w:kern w:val="2"/>
          <w:sz w:val="32"/>
          <w:szCs w:val="32"/>
          <w:highlight w:val="none"/>
        </w:rPr>
        <w:t>医疗机构自主选择协议采购量。医疗机构报量但企业未申报或未中选产品采购需求量的90%以及中选产品待分配量共同组成剩余量，由医疗机构按以下原则进行自主选择：医疗机构可结合本单位历史采购量、临床使用状况和医疗技术进步等因素，在获得规则一、规则二中选资格的企业中，选择医院已报量的中选企业，也可选择价格较低的中选企业；在获得规则三中选资格的企业中可选择各省份采购需求量大的中选企业。</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b/>
          <w:bCs/>
          <w:color w:val="auto"/>
          <w:kern w:val="2"/>
          <w:sz w:val="32"/>
          <w:szCs w:val="32"/>
          <w:highlight w:val="none"/>
        </w:rPr>
        <w:t>第三步：</w:t>
      </w:r>
      <w:r>
        <w:rPr>
          <w:rFonts w:hint="eastAsia" w:ascii="Times New Roman" w:hAnsi="仿宋_GB2312" w:eastAsia="仿宋_GB2312" w:cs="Times New Roman"/>
          <w:color w:val="auto"/>
          <w:kern w:val="2"/>
          <w:sz w:val="32"/>
          <w:szCs w:val="32"/>
          <w:highlight w:val="none"/>
        </w:rPr>
        <w:t>将第一步固定协议采购量和第二步医疗机构自主选择协议采购量一并计入医疗机构年度协议采购量。</w:t>
      </w:r>
    </w:p>
    <w:p>
      <w:pPr>
        <w:spacing w:line="560" w:lineRule="exact"/>
        <w:ind w:firstLine="640" w:firstLineChars="200"/>
        <w:rPr>
          <w:rFonts w:ascii="楷体" w:hAnsi="楷体" w:eastAsia="楷体" w:cs="CESI仿宋-GB2312"/>
          <w:b/>
          <w:sz w:val="32"/>
          <w:szCs w:val="32"/>
          <w:highlight w:val="none"/>
        </w:rPr>
      </w:pPr>
      <w:r>
        <w:rPr>
          <w:rFonts w:hint="eastAsia" w:ascii="楷体" w:hAnsi="楷体" w:eastAsia="楷体" w:cs="CESI仿宋-GB2312"/>
          <w:b/>
          <w:sz w:val="32"/>
          <w:szCs w:val="32"/>
          <w:highlight w:val="none"/>
        </w:rPr>
        <w:t>（二）采购协议签订</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 xml:space="preserve">1.联盟地区医疗保障部门在中选结果发布后，按照中选产品及其中选价格在联盟地区医用耗材集中采购平台上完成挂网工作。 </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 xml:space="preserve">2.联盟各地区医疗保障部门按要求组织签订采购协议并执行。采购协议须如实反映实际供应价格和采购量，医疗机构应当根据采购协议的约定及时回款，不得拖欠。 </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3.采购协议签订后，医疗机构与中选企业不得再订立背离采购协议实质性内容的其他协议，或提出除采购协议之外的任何利益性要求。</w:t>
      </w:r>
    </w:p>
    <w:p>
      <w:pPr>
        <w:pStyle w:val="20"/>
        <w:spacing w:line="560" w:lineRule="exact"/>
        <w:ind w:firstLine="640" w:firstLineChars="2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4.参与本次集中带量采购的医疗机构须严格执行中选价格，不得对中选产品进行二次议价。</w:t>
      </w:r>
    </w:p>
    <w:p>
      <w:pPr>
        <w:pStyle w:val="4"/>
        <w:spacing w:line="560" w:lineRule="exact"/>
        <w:ind w:firstLine="640" w:firstLineChars="200"/>
        <w:rPr>
          <w:rFonts w:ascii="黑体" w:hAnsi="黑体" w:eastAsia="黑体" w:cs="黑体"/>
          <w:b w:val="0"/>
          <w:highlight w:val="none"/>
        </w:rPr>
      </w:pPr>
      <w:r>
        <w:rPr>
          <w:rFonts w:hint="eastAsia" w:ascii="黑体" w:hAnsi="黑体" w:eastAsia="黑体" w:cs="黑体"/>
          <w:b w:val="0"/>
          <w:highlight w:val="none"/>
        </w:rPr>
        <w:t>六、采购协议履行及有关问题处理</w:t>
      </w:r>
    </w:p>
    <w:p>
      <w:pPr>
        <w:spacing w:line="560" w:lineRule="exact"/>
        <w:ind w:firstLine="640" w:firstLineChars="200"/>
        <w:rPr>
          <w:rFonts w:ascii="楷体" w:hAnsi="楷体" w:eastAsia="楷体" w:cs="楷体"/>
          <w:b/>
          <w:sz w:val="32"/>
          <w:szCs w:val="32"/>
          <w:highlight w:val="none"/>
        </w:rPr>
      </w:pPr>
      <w:r>
        <w:rPr>
          <w:rFonts w:hint="eastAsia" w:ascii="楷体" w:hAnsi="楷体" w:eastAsia="楷体" w:cs="楷体"/>
          <w:b/>
          <w:sz w:val="32"/>
          <w:szCs w:val="32"/>
          <w:highlight w:val="none"/>
        </w:rPr>
        <w:t>（一）中选企业应严格履行协议，依法参与集中采购，合理选择配送企业，保障供应</w:t>
      </w:r>
    </w:p>
    <w:p>
      <w:pPr>
        <w:widowControl/>
        <w:shd w:val="clear" w:color="auto" w:fill="FFFFFF"/>
        <w:spacing w:line="560" w:lineRule="exact"/>
        <w:ind w:firstLine="640" w:firstLineChars="200"/>
        <w:rPr>
          <w:rFonts w:hAnsi="仿宋_GB2312" w:eastAsia="仿宋_GB2312"/>
          <w:sz w:val="32"/>
          <w:szCs w:val="32"/>
          <w:highlight w:val="none"/>
        </w:rPr>
      </w:pPr>
      <w:r>
        <w:rPr>
          <w:rFonts w:hAnsi="仿宋_GB2312" w:eastAsia="仿宋_GB2312"/>
          <w:sz w:val="32"/>
          <w:szCs w:val="32"/>
          <w:highlight w:val="none"/>
        </w:rPr>
        <w:t>1.申报企业按要求申报供应</w:t>
      </w:r>
      <w:r>
        <w:rPr>
          <w:rFonts w:hint="eastAsia" w:hAnsi="仿宋_GB2312" w:eastAsia="仿宋_GB2312"/>
          <w:sz w:val="32"/>
          <w:szCs w:val="32"/>
          <w:highlight w:val="none"/>
        </w:rPr>
        <w:t>联盟</w:t>
      </w:r>
      <w:r>
        <w:rPr>
          <w:rFonts w:hAnsi="仿宋_GB2312" w:eastAsia="仿宋_GB2312"/>
          <w:sz w:val="32"/>
          <w:szCs w:val="32"/>
          <w:highlight w:val="none"/>
        </w:rPr>
        <w:t xml:space="preserve">市场的年最大产能，并确保质量。 </w:t>
      </w:r>
    </w:p>
    <w:p>
      <w:pPr>
        <w:widowControl/>
        <w:shd w:val="clear" w:color="auto" w:fill="FFFFFF"/>
        <w:spacing w:line="560" w:lineRule="exact"/>
        <w:ind w:firstLine="640" w:firstLineChars="200"/>
        <w:rPr>
          <w:rFonts w:hAnsi="仿宋_GB2312" w:eastAsia="仿宋_GB2312"/>
          <w:sz w:val="32"/>
          <w:szCs w:val="32"/>
          <w:highlight w:val="none"/>
        </w:rPr>
      </w:pPr>
      <w:r>
        <w:rPr>
          <w:rFonts w:hAnsi="仿宋_GB2312" w:eastAsia="仿宋_GB2312"/>
          <w:sz w:val="32"/>
          <w:szCs w:val="32"/>
          <w:highlight w:val="none"/>
        </w:rPr>
        <w:t xml:space="preserve">2.保证供应配送，并按照采购协议提供伴随服务。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3</w:t>
      </w:r>
      <w:r>
        <w:rPr>
          <w:rFonts w:hAnsi="仿宋_GB2312" w:eastAsia="仿宋_GB2312"/>
          <w:sz w:val="32"/>
          <w:szCs w:val="32"/>
          <w:highlight w:val="none"/>
        </w:rPr>
        <w:t xml:space="preserve">.医疗器械注册人作为供应保障的第一责任人，中选后及时、足量按要求组织生产。境外医疗器械注册人指定的申报企业协助其履行相应的义务。在采购品种范围内但尚未获得国家医保编码的产品，应及时申报获取。配合医疗机构和配送企业，落实耗材追溯法定责任，按规定提供追溯信息，在医疗器械最小销售单元和更高级别的包装或医疗器械产品上赋予医疗器械唯一标识，确保产品的流向清晰可查、质量可追溯。 </w:t>
      </w:r>
    </w:p>
    <w:p>
      <w:pPr>
        <w:spacing w:line="560" w:lineRule="exact"/>
        <w:ind w:firstLine="640" w:firstLineChars="200"/>
        <w:rPr>
          <w:rFonts w:hint="eastAsia" w:ascii="楷体" w:hAnsi="楷体" w:eastAsia="楷体" w:cs="楷体"/>
          <w:b/>
          <w:sz w:val="32"/>
          <w:szCs w:val="32"/>
          <w:highlight w:val="none"/>
        </w:rPr>
      </w:pPr>
    </w:p>
    <w:p>
      <w:pPr>
        <w:spacing w:line="560" w:lineRule="exact"/>
        <w:ind w:firstLine="640" w:firstLineChars="200"/>
        <w:rPr>
          <w:rFonts w:ascii="楷体" w:hAnsi="楷体" w:eastAsia="楷体" w:cs="楷体"/>
          <w:b/>
          <w:sz w:val="32"/>
          <w:szCs w:val="32"/>
          <w:highlight w:val="none"/>
        </w:rPr>
      </w:pPr>
      <w:r>
        <w:rPr>
          <w:rFonts w:hint="eastAsia" w:ascii="楷体" w:hAnsi="楷体" w:eastAsia="楷体" w:cs="楷体"/>
          <w:b/>
          <w:sz w:val="32"/>
          <w:szCs w:val="32"/>
          <w:highlight w:val="none"/>
        </w:rPr>
        <w:t>（二）申报企业、中选企业、配送企业如有以下行为，经有关部门认定情节严重的将被列入“违规名单”</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1.提供商业贿赂，进行非法促销活动；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2.申报品种不符合“申报产品资格”或涉嫌不如实提供申报材料；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3.提供虚假证明文件及文献资料，或者以其他方式弄虚作假，骗取中选；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4.以低于成本的价格恶意申报，扰乱市场秩序；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5.相互串通申报、协商报价，排斥其他申报企业的公平竞争，损害医疗机构或者其他申报企业的合法利益。中选企业经调查确认存在串通申报、协商报价等违背在申报材料中作出的承诺等行为的，取消中选资格并予以相应处罚；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6.以向医疗机构、省际联盟采购领导小组行贿等手段牟取中选；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7.中选后放弃同一产品分组全部产品中选资格；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8.医疗机构发起签订采购协议后，企业在规定期限内不签订采购协议；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9.中选企业、配送企业未按采购协议及法律法规要求实行配送；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10.不履行中选产品供应承诺，影响到临床使用；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11.中选产品发生严重质量问题；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12.中选的产品因不符合医疗器械生产质量管理规范被药品监督管理部门处以暂停生产、进口、经营和使用等控制措施；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13.在抽检或飞行检查中发现中选企业严重违背在申报材料中作出的承诺；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14.通过恶意投诉等不正当手段竞争；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15.蓄意干扰集中带量采购申报材料递交、申报信息公开等相关工作秩序；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16.其他违反法律法规的行为。 </w:t>
      </w:r>
    </w:p>
    <w:p>
      <w:pPr>
        <w:spacing w:line="560" w:lineRule="exact"/>
        <w:ind w:firstLine="640" w:firstLineChars="200"/>
        <w:rPr>
          <w:rFonts w:ascii="楷体" w:hAnsi="楷体" w:eastAsia="楷体" w:cs="楷体"/>
          <w:sz w:val="32"/>
          <w:szCs w:val="32"/>
          <w:highlight w:val="none"/>
        </w:rPr>
      </w:pPr>
      <w:r>
        <w:rPr>
          <w:rFonts w:hint="eastAsia" w:ascii="楷体" w:hAnsi="楷体" w:eastAsia="楷体" w:cs="楷体"/>
          <w:b/>
          <w:sz w:val="32"/>
          <w:szCs w:val="32"/>
          <w:highlight w:val="none"/>
        </w:rPr>
        <w:t xml:space="preserve">（三）列入“违规名单”的相关企业，按以下条款处理 </w:t>
      </w:r>
      <w:r>
        <w:rPr>
          <w:rFonts w:hint="eastAsia" w:ascii="楷体" w:hAnsi="楷体" w:eastAsia="楷体" w:cs="楷体"/>
          <w:sz w:val="32"/>
          <w:szCs w:val="32"/>
          <w:highlight w:val="none"/>
        </w:rPr>
        <w:t>：</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申报企业列入省际联盟采购领导小组“违规名单”的，取消该企业的申报资格；中选企业列入省际联盟采购领导小组“违规名单”的，取消该企业的中选资格。申报企业或中选企业列入省际联盟采购领导小组或其成员单位“违规名单”的，视情节轻重及客观实际，可取消上述企业或品种在列入“违规名单”之日起6个月至5年（含）参与联盟地区组织医用耗材采购活动的资格。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2.配送企业被列入省际联盟采购领导小组或其成员单位“违规名单”的，相应地区可取消该企业的配送资格及列入“违规名单”之日起2年及以内参与相应地区医用耗材集中采购的配送资格。 </w:t>
      </w:r>
    </w:p>
    <w:p>
      <w:pPr>
        <w:spacing w:line="560" w:lineRule="exact"/>
        <w:ind w:firstLine="640" w:firstLineChars="200"/>
        <w:rPr>
          <w:rFonts w:hint="eastAsia" w:ascii="楷体" w:hAnsi="楷体" w:eastAsia="楷体" w:cs="CESI仿宋-GB2312"/>
          <w:b/>
          <w:sz w:val="32"/>
          <w:szCs w:val="32"/>
          <w:highlight w:val="none"/>
        </w:rPr>
      </w:pPr>
      <w:r>
        <w:rPr>
          <w:rFonts w:hint="eastAsia" w:ascii="楷体" w:hAnsi="楷体" w:eastAsia="楷体" w:cs="CESI仿宋-GB2312"/>
          <w:b/>
          <w:sz w:val="32"/>
          <w:szCs w:val="32"/>
          <w:highlight w:val="none"/>
        </w:rPr>
        <w:t xml:space="preserve">（四）其他事项 </w:t>
      </w:r>
    </w:p>
    <w:p>
      <w:pPr>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1.严格落实中选企业自主选择配送企业。中选企业向相关省份报备配送企业名单和配送费率。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2.中选产品出现被药品监督管理部门暂停生产、进口、经营和使用等情况，取消中选资格。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3.采购周期内，中选企业出现无法保证供应等情况，致使采购协议无法继续履行时，相关地区与该企业协商后，由医疗机构在同一产品分组下从中选企业中自主选择价格适宜的产品。因保障供应产生的额外支出由无法履行采购协议的原中选企业承担。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4.协议采购量完成后，医疗机构仍应优先使用中选产品（医疗机构需结合临床实际优先选用规则一、规则二中选产品）。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5.采购周期内，若中选产品的配送企业被列入“违规名单”，中选企业应及时选择其他配送企业，确保中选产品及时配送。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6.因中选产品存在生产质量问题，给患者造成损失的，按照相关规定，由中选企业承担全部赔偿责任。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7.联盟各地区应加强高价非中选产品使用情况的监测。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8.中选企业应严格要求配送企业和代理商，向医疗机构主动提供中选的产品。</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9.经调查确认中选企业存在串通申报、协商报价等违背在申报材料中作出的承诺等行为的，取消中选资格，并退回采购相关方的损失。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10.鼓励相关企业在集采过程中积极主动提供围标、串标、弄虚作假等证据，经查证属实，提供证据的企业若涉及医药企业信用失信的，其失信自动修复时限可相应缩短。 </w:t>
      </w:r>
    </w:p>
    <w:p>
      <w:pPr>
        <w:widowControl/>
        <w:shd w:val="clear" w:color="auto" w:fill="FFFFFF"/>
        <w:spacing w:line="560" w:lineRule="exact"/>
        <w:ind w:firstLine="640" w:firstLineChars="200"/>
        <w:rPr>
          <w:rFonts w:hAnsi="仿宋_GB2312" w:eastAsia="仿宋_GB2312"/>
          <w:sz w:val="32"/>
          <w:szCs w:val="32"/>
          <w:highlight w:val="none"/>
        </w:rPr>
      </w:pPr>
      <w:r>
        <w:rPr>
          <w:rFonts w:hint="eastAsia" w:hAnsi="仿宋_GB2312" w:eastAsia="仿宋_GB2312"/>
          <w:sz w:val="32"/>
          <w:szCs w:val="32"/>
          <w:highlight w:val="none"/>
        </w:rPr>
        <w:t xml:space="preserve">11.签订购销协议的相关当事人不得擅自变更、中止或终止协议。采购周期内，因市场、技术等因素出现重大变化，继续履行采购合同将损害国家利益和社会公共利益的，省际联盟采购领导小组可组织协议相关当事人协商变更、中止或终止协议。 </w:t>
      </w:r>
    </w:p>
    <w:p>
      <w:pPr>
        <w:spacing w:line="560" w:lineRule="exact"/>
        <w:ind w:firstLine="640" w:firstLineChars="200"/>
        <w:rPr>
          <w:rFonts w:hAnsi="仿宋_GB2312" w:eastAsia="仿宋_GB2312"/>
          <w:sz w:val="32"/>
          <w:szCs w:val="32"/>
          <w:highlight w:val="none"/>
        </w:rPr>
      </w:pPr>
      <w:r>
        <w:rPr>
          <w:sz w:val="32"/>
          <w:szCs w:val="32"/>
          <w:highlight w:val="none"/>
        </w:rPr>
        <w:t>12.</w:t>
      </w:r>
      <w:r>
        <w:rPr>
          <w:rFonts w:hint="eastAsia" w:hAnsi="仿宋_GB2312" w:eastAsia="仿宋_GB2312"/>
          <w:sz w:val="32"/>
          <w:szCs w:val="32"/>
          <w:highlight w:val="none"/>
        </w:rPr>
        <w:t>本采购文件未尽事宜，将适时发布补充、更正公告和相关文件规定；本采购文件根据相关法律法规及省际联盟采购领导小组意见进行修订和完善。</w:t>
      </w:r>
    </w:p>
    <w:p>
      <w:pPr>
        <w:spacing w:line="560" w:lineRule="exact"/>
        <w:ind w:firstLine="640" w:firstLineChars="200"/>
        <w:rPr>
          <w:rFonts w:hAnsi="仿宋_GB2312" w:eastAsia="仿宋_GB2312"/>
          <w:sz w:val="32"/>
          <w:szCs w:val="32"/>
          <w:highlight w:val="none"/>
        </w:rPr>
      </w:pPr>
      <w:r>
        <w:rPr>
          <w:rFonts w:hint="eastAsia"/>
          <w:sz w:val="32"/>
          <w:szCs w:val="32"/>
          <w:highlight w:val="none"/>
        </w:rPr>
        <w:t>13.</w:t>
      </w:r>
      <w:r>
        <w:rPr>
          <w:rFonts w:hint="eastAsia" w:hAnsi="仿宋_GB2312" w:eastAsia="仿宋_GB2312"/>
          <w:sz w:val="32"/>
          <w:szCs w:val="32"/>
          <w:highlight w:val="none"/>
        </w:rPr>
        <w:t>本采购文件仅适用于本次集中带量采购所述项目的医用耗材及相关服务，最终解释权归省际联盟采购领导小组。</w:t>
      </w:r>
    </w:p>
    <w:p>
      <w:pPr>
        <w:pStyle w:val="20"/>
        <w:spacing w:line="540" w:lineRule="exact"/>
        <w:jc w:val="both"/>
        <w:rPr>
          <w:rFonts w:ascii="Times New Roman" w:hAnsi="仿宋_GB2312" w:eastAsia="仿宋_GB2312" w:cs="Times New Roman"/>
          <w:color w:val="auto"/>
          <w:kern w:val="2"/>
          <w:sz w:val="32"/>
          <w:szCs w:val="32"/>
          <w:highlight w:val="none"/>
        </w:rPr>
      </w:pPr>
    </w:p>
    <w:p>
      <w:pPr>
        <w:pStyle w:val="20"/>
        <w:spacing w:line="540" w:lineRule="exact"/>
        <w:jc w:val="both"/>
        <w:rPr>
          <w:rFonts w:ascii="Times New Roman" w:hAnsi="仿宋_GB2312" w:eastAsia="仿宋_GB2312" w:cs="Times New Roman"/>
          <w:color w:val="auto"/>
          <w:kern w:val="2"/>
          <w:sz w:val="32"/>
          <w:szCs w:val="32"/>
          <w:highlight w:val="none"/>
        </w:rPr>
      </w:pPr>
    </w:p>
    <w:p>
      <w:pPr>
        <w:pStyle w:val="20"/>
        <w:spacing w:line="560" w:lineRule="exact"/>
        <w:ind w:firstLine="3520" w:firstLineChars="110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省际联盟缝合线等5类医用耗材</w:t>
      </w:r>
    </w:p>
    <w:p>
      <w:pPr>
        <w:pStyle w:val="20"/>
        <w:spacing w:line="560" w:lineRule="exact"/>
        <w:ind w:firstLine="3680" w:firstLineChars="1150"/>
        <w:jc w:val="both"/>
        <w:rPr>
          <w:rFonts w:ascii="Times New Roman" w:hAnsi="仿宋_GB2312" w:eastAsia="仿宋_GB2312" w:cs="Times New Roman"/>
          <w:color w:val="auto"/>
          <w:kern w:val="2"/>
          <w:sz w:val="32"/>
          <w:szCs w:val="32"/>
          <w:highlight w:val="none"/>
        </w:rPr>
      </w:pPr>
      <w:r>
        <w:rPr>
          <w:rFonts w:hint="eastAsia" w:ascii="Times New Roman" w:hAnsi="仿宋_GB2312" w:eastAsia="仿宋_GB2312" w:cs="Times New Roman"/>
          <w:color w:val="auto"/>
          <w:kern w:val="2"/>
          <w:sz w:val="32"/>
          <w:szCs w:val="32"/>
          <w:highlight w:val="none"/>
        </w:rPr>
        <w:t>集中带量采购领导小组办公室</w:t>
      </w:r>
    </w:p>
    <w:p>
      <w:pPr>
        <w:pStyle w:val="20"/>
        <w:spacing w:line="560" w:lineRule="exact"/>
        <w:ind w:firstLine="4160" w:firstLineChars="1300"/>
        <w:rPr>
          <w:rFonts w:hint="eastAsia" w:ascii="Times New Roman" w:hAnsi="仿宋_GB2312" w:eastAsia="仿宋_GB2312" w:cs="Times New Roman"/>
          <w:color w:val="auto"/>
          <w:kern w:val="2"/>
          <w:sz w:val="32"/>
          <w:szCs w:val="32"/>
          <w:highlight w:val="none"/>
          <w:lang w:val="en" w:eastAsia="zh-CN"/>
        </w:rPr>
      </w:pPr>
      <w:r>
        <w:rPr>
          <w:rFonts w:hint="default" w:ascii="Times New Roman" w:hAnsi="仿宋_GB2312" w:eastAsia="仿宋_GB2312" w:cs="Times New Roman"/>
          <w:color w:val="auto"/>
          <w:kern w:val="2"/>
          <w:sz w:val="32"/>
          <w:szCs w:val="32"/>
          <w:highlight w:val="none"/>
          <w:lang w:val="en"/>
        </w:rPr>
        <w:t>(</w:t>
      </w:r>
      <w:r>
        <w:rPr>
          <w:rFonts w:hint="eastAsia" w:ascii="Times New Roman" w:hAnsi="仿宋_GB2312" w:eastAsia="仿宋_GB2312" w:cs="Times New Roman"/>
          <w:color w:val="auto"/>
          <w:kern w:val="2"/>
          <w:sz w:val="32"/>
          <w:szCs w:val="32"/>
          <w:highlight w:val="none"/>
          <w:lang w:val="en" w:eastAsia="zh-CN"/>
        </w:rPr>
        <w:t>辽宁省医疗保障局代章）</w:t>
      </w:r>
    </w:p>
    <w:p>
      <w:pPr>
        <w:pStyle w:val="20"/>
        <w:spacing w:line="560" w:lineRule="exact"/>
        <w:ind w:firstLine="4960" w:firstLineChars="1550"/>
        <w:rPr>
          <w:rFonts w:ascii="CESI仿宋-GB2312" w:hAnsi="CESI仿宋-GB2312" w:eastAsia="CESI仿宋-GB2312" w:cs="CESI仿宋-GB2312"/>
          <w:color w:val="auto"/>
          <w:kern w:val="2"/>
          <w:sz w:val="32"/>
          <w:szCs w:val="32"/>
          <w:highlight w:val="none"/>
        </w:rPr>
      </w:pPr>
      <w:r>
        <w:rPr>
          <w:rFonts w:hint="eastAsia" w:ascii="Times New Roman" w:hAnsi="仿宋_GB2312" w:eastAsia="仿宋_GB2312" w:cs="Times New Roman"/>
          <w:color w:val="auto"/>
          <w:kern w:val="2"/>
          <w:sz w:val="32"/>
          <w:szCs w:val="32"/>
          <w:highlight w:val="none"/>
        </w:rPr>
        <w:t>2025年9月</w:t>
      </w:r>
      <w:r>
        <w:rPr>
          <w:rFonts w:hint="eastAsia" w:ascii="Times New Roman" w:hAnsi="仿宋_GB2312" w:eastAsia="仿宋_GB2312" w:cs="Times New Roman"/>
          <w:color w:val="auto"/>
          <w:kern w:val="2"/>
          <w:sz w:val="32"/>
          <w:szCs w:val="32"/>
          <w:highlight w:val="none"/>
          <w:lang w:val="en-US" w:eastAsia="zh-CN"/>
        </w:rPr>
        <w:t>19</w:t>
      </w:r>
      <w:r>
        <w:rPr>
          <w:rFonts w:hint="eastAsia" w:ascii="Times New Roman" w:hAnsi="仿宋_GB2312" w:eastAsia="仿宋_GB2312" w:cs="Times New Roman"/>
          <w:color w:val="auto"/>
          <w:kern w:val="2"/>
          <w:sz w:val="32"/>
          <w:szCs w:val="32"/>
          <w:highlight w:val="none"/>
        </w:rPr>
        <w:t>日</w:t>
      </w:r>
    </w:p>
    <w:p>
      <w:pPr>
        <w:widowControl/>
        <w:shd w:val="clear" w:color="auto" w:fill="FFFFFF"/>
        <w:spacing w:before="313" w:after="313"/>
        <w:jc w:val="center"/>
        <w:rPr>
          <w:rFonts w:ascii="黑体" w:hAnsi="黑体" w:eastAsia="黑体" w:cs="黑体"/>
          <w:b/>
          <w:bCs/>
          <w:kern w:val="0"/>
          <w:sz w:val="52"/>
          <w:szCs w:val="52"/>
          <w:highlight w:val="none"/>
          <w:shd w:val="clear" w:color="auto" w:fill="FFFFFF"/>
        </w:rPr>
      </w:pPr>
      <w:r>
        <w:rPr>
          <w:rFonts w:hint="eastAsia" w:ascii="CESI仿宋-GB2312" w:hAnsi="CESI仿宋-GB2312" w:eastAsia="CESI仿宋-GB2312" w:cs="CESI仿宋-GB2312"/>
          <w:sz w:val="32"/>
          <w:szCs w:val="32"/>
          <w:highlight w:val="none"/>
        </w:rPr>
        <w:br w:type="page"/>
      </w:r>
    </w:p>
    <w:p>
      <w:pPr>
        <w:widowControl/>
        <w:shd w:val="clear" w:color="auto" w:fill="FFFFFF"/>
        <w:spacing w:before="313" w:after="313"/>
        <w:jc w:val="center"/>
        <w:rPr>
          <w:rFonts w:ascii="黑体" w:hAnsi="黑体" w:eastAsia="黑体" w:cs="黑体"/>
          <w:b/>
          <w:bCs/>
          <w:kern w:val="0"/>
          <w:sz w:val="52"/>
          <w:szCs w:val="52"/>
          <w:highlight w:val="none"/>
          <w:shd w:val="clear" w:color="auto" w:fill="FFFFFF"/>
        </w:rPr>
      </w:pPr>
    </w:p>
    <w:p>
      <w:pPr>
        <w:pStyle w:val="20"/>
        <w:rPr>
          <w:rFonts w:ascii="黑体" w:hAnsi="黑体" w:eastAsia="黑体" w:cs="黑体"/>
          <w:b/>
          <w:bCs/>
          <w:color w:val="auto"/>
          <w:sz w:val="52"/>
          <w:szCs w:val="52"/>
          <w:highlight w:val="none"/>
          <w:shd w:val="clear" w:color="auto" w:fill="FFFFFF"/>
        </w:rPr>
      </w:pPr>
    </w:p>
    <w:p>
      <w:pPr>
        <w:pStyle w:val="20"/>
        <w:rPr>
          <w:rFonts w:ascii="黑体" w:hAnsi="黑体" w:eastAsia="黑体" w:cs="黑体"/>
          <w:b/>
          <w:bCs/>
          <w:color w:val="auto"/>
          <w:sz w:val="52"/>
          <w:szCs w:val="52"/>
          <w:highlight w:val="none"/>
          <w:shd w:val="clear" w:color="auto" w:fill="FFFFFF"/>
        </w:rPr>
      </w:pPr>
    </w:p>
    <w:p>
      <w:pPr>
        <w:widowControl/>
        <w:shd w:val="clear" w:color="auto" w:fill="FFFFFF"/>
        <w:spacing w:before="313" w:after="313"/>
        <w:jc w:val="center"/>
        <w:rPr>
          <w:rFonts w:ascii="黑体" w:hAnsi="黑体" w:eastAsia="黑体" w:cs="黑体"/>
          <w:b/>
          <w:bCs/>
          <w:kern w:val="0"/>
          <w:sz w:val="52"/>
          <w:szCs w:val="52"/>
          <w:highlight w:val="none"/>
          <w:shd w:val="clear" w:color="auto" w:fill="FFFFFF"/>
        </w:rPr>
      </w:pPr>
    </w:p>
    <w:p>
      <w:pPr>
        <w:widowControl/>
        <w:shd w:val="clear" w:color="auto" w:fill="FFFFFF"/>
        <w:spacing w:before="313" w:after="313"/>
        <w:jc w:val="center"/>
        <w:rPr>
          <w:rFonts w:ascii="方正小标宋简体" w:hAnsi="方正小标宋简体" w:eastAsia="方正小标宋简体" w:cs="方正小标宋简体"/>
          <w:kern w:val="0"/>
          <w:sz w:val="52"/>
          <w:szCs w:val="52"/>
          <w:highlight w:val="none"/>
          <w:shd w:val="clear" w:color="auto" w:fill="FFFFFF"/>
        </w:rPr>
      </w:pPr>
      <w:r>
        <w:rPr>
          <w:rFonts w:hint="eastAsia" w:ascii="方正小标宋简体" w:hAnsi="方正小标宋简体" w:eastAsia="方正小标宋简体" w:cs="方正小标宋简体"/>
          <w:kern w:val="0"/>
          <w:sz w:val="52"/>
          <w:szCs w:val="52"/>
          <w:highlight w:val="none"/>
          <w:shd w:val="clear" w:color="auto" w:fill="FFFFFF"/>
        </w:rPr>
        <w:t>第三部分  采购文件格式（附件）</w:t>
      </w:r>
    </w:p>
    <w:p>
      <w:pPr>
        <w:pStyle w:val="20"/>
        <w:rPr>
          <w:color w:val="auto"/>
          <w:highlight w:val="none"/>
        </w:rPr>
      </w:pPr>
    </w:p>
    <w:p>
      <w:pPr>
        <w:pStyle w:val="20"/>
        <w:rPr>
          <w:color w:val="auto"/>
          <w:highlight w:val="none"/>
        </w:rPr>
      </w:pPr>
    </w:p>
    <w:p>
      <w:pPr>
        <w:rPr>
          <w:highlight w:val="none"/>
        </w:rPr>
      </w:pPr>
    </w:p>
    <w:p>
      <w:pPr>
        <w:pStyle w:val="20"/>
        <w:rPr>
          <w:color w:val="auto"/>
          <w:highlight w:val="none"/>
        </w:rPr>
      </w:pPr>
    </w:p>
    <w:p>
      <w:pPr>
        <w:pStyle w:val="20"/>
        <w:rPr>
          <w:color w:val="auto"/>
          <w:highlight w:val="none"/>
        </w:rPr>
      </w:pPr>
    </w:p>
    <w:p>
      <w:pPr>
        <w:pStyle w:val="20"/>
        <w:ind w:firstLine="480" w:firstLineChars="200"/>
        <w:jc w:val="center"/>
        <w:rPr>
          <w:rFonts w:hint="eastAsia" w:ascii="Nimbus Roman No9 L" w:hAnsi="Nimbus Roman No9 L" w:eastAsia="仿宋" w:cs="仿宋"/>
          <w:b/>
          <w:bCs/>
          <w:color w:val="auto"/>
          <w:highlight w:val="none"/>
          <w:shd w:val="clear" w:color="auto" w:fill="FFFFFF"/>
        </w:rPr>
      </w:pPr>
    </w:p>
    <w:p>
      <w:pPr>
        <w:pStyle w:val="20"/>
        <w:rPr>
          <w:color w:val="auto"/>
          <w:highlight w:val="none"/>
        </w:rPr>
      </w:pPr>
    </w:p>
    <w:p>
      <w:pPr>
        <w:pStyle w:val="20"/>
        <w:rPr>
          <w:color w:val="auto"/>
          <w:highlight w:val="none"/>
        </w:rPr>
      </w:pPr>
    </w:p>
    <w:p>
      <w:pPr>
        <w:pStyle w:val="20"/>
        <w:rPr>
          <w:color w:val="auto"/>
          <w:highlight w:val="none"/>
        </w:rPr>
      </w:pPr>
    </w:p>
    <w:p>
      <w:pPr>
        <w:pStyle w:val="20"/>
        <w:ind w:firstLine="640" w:firstLineChars="200"/>
        <w:jc w:val="both"/>
        <w:rPr>
          <w:rFonts w:hint="eastAsia" w:ascii="Nimbus Roman No9 L" w:hAnsi="Nimbus Roman No9 L" w:eastAsia="仿宋" w:cs="仿宋"/>
          <w:color w:val="auto"/>
          <w:sz w:val="32"/>
          <w:szCs w:val="32"/>
          <w:highlight w:val="none"/>
          <w:shd w:val="clear" w:color="auto" w:fill="FFFFFF"/>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附件1</w:t>
      </w:r>
    </w:p>
    <w:p>
      <w:pPr>
        <w:widowControl/>
        <w:shd w:val="clear" w:color="auto" w:fill="FFFFFF"/>
        <w:spacing w:before="313" w:after="313" w:line="600" w:lineRule="exact"/>
        <w:jc w:val="center"/>
        <w:rPr>
          <w:rFonts w:ascii="方正小标宋简体" w:hAnsi="方正小标宋简体" w:eastAsia="方正小标宋简体" w:cs="方正小标宋简体"/>
          <w:kern w:val="0"/>
          <w:sz w:val="52"/>
          <w:szCs w:val="52"/>
          <w:highlight w:val="none"/>
          <w:shd w:val="clear" w:color="auto" w:fill="FFFFFF"/>
        </w:rPr>
      </w:pPr>
      <w:r>
        <w:rPr>
          <w:rFonts w:hint="eastAsia" w:ascii="方正小标宋简体" w:hAnsi="方正小标宋简体" w:eastAsia="方正小标宋简体" w:cs="方正小标宋简体"/>
          <w:kern w:val="0"/>
          <w:sz w:val="52"/>
          <w:szCs w:val="52"/>
          <w:highlight w:val="none"/>
          <w:shd w:val="clear" w:color="auto" w:fill="FFFFFF"/>
        </w:rPr>
        <w:t>省际联盟缝合线等5类医用耗材</w:t>
      </w:r>
    </w:p>
    <w:p>
      <w:pPr>
        <w:widowControl/>
        <w:shd w:val="clear" w:color="auto" w:fill="FFFFFF"/>
        <w:spacing w:before="313" w:after="313" w:line="600" w:lineRule="exact"/>
        <w:jc w:val="center"/>
        <w:rPr>
          <w:rFonts w:ascii="方正小标宋简体" w:hAnsi="方正小标宋简体" w:eastAsia="方正小标宋简体" w:cs="方正小标宋简体"/>
          <w:kern w:val="0"/>
          <w:sz w:val="52"/>
          <w:szCs w:val="52"/>
          <w:highlight w:val="none"/>
          <w:shd w:val="clear" w:color="auto" w:fill="FFFFFF"/>
        </w:rPr>
      </w:pPr>
      <w:r>
        <w:rPr>
          <w:rFonts w:hint="eastAsia" w:ascii="方正小标宋简体" w:hAnsi="方正小标宋简体" w:eastAsia="方正小标宋简体" w:cs="方正小标宋简体"/>
          <w:kern w:val="0"/>
          <w:sz w:val="52"/>
          <w:szCs w:val="52"/>
          <w:highlight w:val="none"/>
          <w:shd w:val="clear" w:color="auto" w:fill="FFFFFF"/>
        </w:rPr>
        <w:t>集中带量采购</w:t>
      </w:r>
    </w:p>
    <w:p>
      <w:pPr>
        <w:spacing w:line="600" w:lineRule="exact"/>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（编号：</w:t>
      </w:r>
      <w:r>
        <w:rPr>
          <w:rFonts w:hint="eastAsia" w:ascii="方正小标宋简体" w:hAnsi="方正小标宋简体" w:eastAsia="方正小标宋简体" w:cs="方正小标宋简体"/>
          <w:bCs/>
          <w:kern w:val="0"/>
          <w:sz w:val="44"/>
          <w:szCs w:val="44"/>
          <w:highlight w:val="none"/>
          <w:shd w:val="clear" w:color="auto" w:fill="FFFFFF"/>
        </w:rPr>
        <w:t>SJLM-24-HC2025-1</w:t>
      </w:r>
      <w:r>
        <w:rPr>
          <w:rFonts w:hint="eastAsia" w:ascii="方正小标宋简体" w:hAnsi="方正小标宋简体" w:eastAsia="方正小标宋简体" w:cs="方正小标宋简体"/>
          <w:bCs/>
          <w:sz w:val="44"/>
          <w:szCs w:val="44"/>
          <w:highlight w:val="none"/>
        </w:rPr>
        <w:t>）</w:t>
      </w:r>
    </w:p>
    <w:p>
      <w:pPr>
        <w:spacing w:line="360" w:lineRule="auto"/>
        <w:rPr>
          <w:rFonts w:ascii="宋体" w:hAnsi="宋体" w:cs="宋体"/>
          <w:bCs/>
          <w:sz w:val="44"/>
          <w:szCs w:val="44"/>
          <w:highlight w:val="none"/>
        </w:rPr>
      </w:pPr>
    </w:p>
    <w:p>
      <w:pPr>
        <w:spacing w:line="360" w:lineRule="auto"/>
        <w:ind w:firstLine="1760" w:firstLineChars="400"/>
        <w:rPr>
          <w:rFonts w:ascii="宋体" w:hAnsi="宋体" w:cs="宋体"/>
          <w:bCs/>
          <w:sz w:val="44"/>
          <w:szCs w:val="44"/>
          <w:highlight w:val="none"/>
        </w:rPr>
      </w:pPr>
      <w:r>
        <w:rPr>
          <w:rFonts w:hint="eastAsia" w:ascii="宋体" w:hAnsi="宋体" w:cs="宋体"/>
          <w:bCs/>
          <w:sz w:val="44"/>
          <w:szCs w:val="44"/>
          <w:highlight w:val="none"/>
        </w:rPr>
        <w:t>申报企业资格证明文件封面</w:t>
      </w:r>
    </w:p>
    <w:p>
      <w:pPr>
        <w:spacing w:line="360" w:lineRule="auto"/>
        <w:rPr>
          <w:rFonts w:ascii="宋体" w:hAnsi="宋体" w:cs="宋体"/>
          <w:bCs/>
          <w:sz w:val="24"/>
          <w:highlight w:val="none"/>
        </w:rPr>
      </w:pPr>
    </w:p>
    <w:p>
      <w:pPr>
        <w:jc w:val="center"/>
        <w:rPr>
          <w:rFonts w:ascii="宋体" w:hAnsi="宋体" w:cs="宋体"/>
          <w:bCs/>
          <w:sz w:val="32"/>
          <w:szCs w:val="32"/>
          <w:highlight w:val="none"/>
        </w:rPr>
      </w:pPr>
      <w:r>
        <w:rPr>
          <w:rFonts w:hint="eastAsia" w:ascii="宋体" w:hAnsi="宋体" w:cs="宋体"/>
          <w:bCs/>
          <w:sz w:val="32"/>
          <w:szCs w:val="32"/>
          <w:highlight w:val="none"/>
        </w:rPr>
        <w:t>文件编号：第一册 共一册</w:t>
      </w:r>
    </w:p>
    <w:p>
      <w:pPr>
        <w:spacing w:line="360" w:lineRule="auto"/>
        <w:ind w:left="960"/>
        <w:rPr>
          <w:rFonts w:ascii="宋体" w:hAnsi="宋体" w:cs="宋体"/>
          <w:bCs/>
          <w:sz w:val="24"/>
          <w:highlight w:val="none"/>
        </w:rPr>
      </w:pPr>
    </w:p>
    <w:p>
      <w:pPr>
        <w:tabs>
          <w:tab w:val="left" w:pos="7440"/>
        </w:tabs>
        <w:ind w:right="-20"/>
        <w:jc w:val="left"/>
        <w:rPr>
          <w:rFonts w:ascii="宋体" w:hAnsi="宋体" w:cs="宋体"/>
          <w:sz w:val="32"/>
          <w:szCs w:val="32"/>
          <w:highlight w:val="none"/>
        </w:rPr>
      </w:pPr>
      <w:r>
        <w:rPr>
          <w:rFonts w:hint="eastAsia" w:ascii="宋体" w:hAnsi="宋体" w:cs="宋体"/>
          <w:sz w:val="32"/>
          <w:szCs w:val="32"/>
          <w:highlight w:val="none"/>
        </w:rPr>
        <w:t>申报企业账号</w:t>
      </w:r>
      <w:r>
        <w:rPr>
          <w:rFonts w:hint="eastAsia" w:ascii="宋体" w:hAnsi="宋体" w:cs="宋体"/>
          <w:spacing w:val="-5"/>
          <w:sz w:val="32"/>
          <w:szCs w:val="32"/>
          <w:highlight w:val="none"/>
        </w:rPr>
        <w:t>：</w:t>
      </w:r>
    </w:p>
    <w:p>
      <w:pPr>
        <w:spacing w:before="2" w:line="150" w:lineRule="exact"/>
        <w:rPr>
          <w:rFonts w:ascii="宋体" w:hAnsi="宋体" w:cs="宋体"/>
          <w:sz w:val="32"/>
          <w:szCs w:val="32"/>
          <w:highlight w:val="none"/>
        </w:rPr>
      </w:pPr>
    </w:p>
    <w:p>
      <w:pPr>
        <w:tabs>
          <w:tab w:val="left" w:pos="7440"/>
        </w:tabs>
        <w:ind w:right="-20"/>
        <w:rPr>
          <w:rFonts w:ascii="宋体" w:hAnsi="宋体" w:cs="宋体"/>
          <w:sz w:val="32"/>
          <w:szCs w:val="32"/>
          <w:highlight w:val="none"/>
        </w:rPr>
      </w:pPr>
      <w:r>
        <w:rPr>
          <w:rFonts w:hint="eastAsia" w:ascii="宋体" w:hAnsi="宋体" w:cs="宋体"/>
          <w:sz w:val="32"/>
          <w:szCs w:val="32"/>
          <w:highlight w:val="none"/>
        </w:rPr>
        <w:t>申报企业</w:t>
      </w:r>
      <w:r>
        <w:rPr>
          <w:rFonts w:hint="eastAsia" w:ascii="宋体" w:hAnsi="宋体" w:cs="宋体"/>
          <w:spacing w:val="-5"/>
          <w:sz w:val="32"/>
          <w:szCs w:val="32"/>
          <w:highlight w:val="none"/>
        </w:rPr>
        <w:t>名</w:t>
      </w:r>
      <w:r>
        <w:rPr>
          <w:rFonts w:hint="eastAsia" w:ascii="宋体" w:hAnsi="宋体" w:cs="宋体"/>
          <w:sz w:val="32"/>
          <w:szCs w:val="32"/>
          <w:highlight w:val="none"/>
        </w:rPr>
        <w:t>称</w:t>
      </w:r>
      <w:r>
        <w:rPr>
          <w:rFonts w:hint="eastAsia" w:ascii="宋体" w:hAnsi="宋体" w:cs="宋体"/>
          <w:spacing w:val="-5"/>
          <w:sz w:val="32"/>
          <w:szCs w:val="32"/>
          <w:highlight w:val="none"/>
        </w:rPr>
        <w:t>：</w:t>
      </w:r>
    </w:p>
    <w:p>
      <w:pPr>
        <w:spacing w:line="360" w:lineRule="auto"/>
        <w:jc w:val="center"/>
        <w:rPr>
          <w:rFonts w:ascii="宋体" w:hAnsi="宋体" w:cs="宋体"/>
          <w:bCs/>
          <w:sz w:val="32"/>
          <w:highlight w:val="none"/>
        </w:rPr>
      </w:pPr>
      <w:r>
        <w:rPr>
          <w:rFonts w:hint="eastAsia" w:ascii="宋体" w:hAnsi="宋体" w:cs="宋体"/>
          <w:bCs/>
          <w:sz w:val="28"/>
          <w:highlight w:val="none"/>
        </w:rPr>
        <w:t>（加盖申报企业公章）</w:t>
      </w:r>
    </w:p>
    <w:p>
      <w:pPr>
        <w:spacing w:line="360" w:lineRule="auto"/>
        <w:ind w:firstLine="1280" w:firstLineChars="400"/>
        <w:rPr>
          <w:rFonts w:ascii="宋体" w:hAnsi="宋体" w:cs="宋体"/>
          <w:bCs/>
          <w:sz w:val="32"/>
          <w:highlight w:val="none"/>
        </w:rPr>
      </w:pPr>
    </w:p>
    <w:p>
      <w:pPr>
        <w:spacing w:line="360" w:lineRule="auto"/>
        <w:ind w:firstLine="1280" w:firstLineChars="400"/>
        <w:rPr>
          <w:rFonts w:ascii="宋体" w:hAnsi="宋体" w:cs="宋体"/>
          <w:bCs/>
          <w:sz w:val="32"/>
          <w:highlight w:val="none"/>
        </w:rPr>
      </w:pPr>
      <w:r>
        <w:rPr>
          <w:rFonts w:hint="eastAsia" w:ascii="宋体" w:hAnsi="宋体" w:cs="宋体"/>
          <w:bCs/>
          <w:sz w:val="32"/>
          <w:highlight w:val="none"/>
        </w:rPr>
        <w:t>申报分组序号：</w:t>
      </w:r>
      <w:r>
        <w:rPr>
          <w:rFonts w:hint="eastAsia" w:ascii="宋体" w:hAnsi="宋体" w:cs="宋体"/>
          <w:position w:val="-3"/>
          <w:sz w:val="32"/>
          <w:szCs w:val="32"/>
          <w:highlight w:val="none"/>
          <w:u w:val="single" w:color="000000"/>
        </w:rPr>
        <w:tab/>
      </w:r>
      <w:r>
        <w:rPr>
          <w:rFonts w:hint="eastAsia" w:ascii="宋体" w:hAnsi="宋体" w:cs="宋体"/>
          <w:position w:val="-3"/>
          <w:sz w:val="32"/>
          <w:szCs w:val="32"/>
          <w:highlight w:val="none"/>
          <w:u w:val="single" w:color="000000"/>
        </w:rPr>
        <w:t xml:space="preserve">           </w:t>
      </w:r>
      <w:r>
        <w:rPr>
          <w:rFonts w:hint="eastAsia" w:ascii="宋体" w:hAnsi="宋体" w:cs="宋体"/>
          <w:position w:val="-3"/>
          <w:sz w:val="32"/>
          <w:szCs w:val="32"/>
          <w:highlight w:val="none"/>
          <w:u w:val="single" w:color="000000"/>
        </w:rPr>
        <w:tab/>
      </w:r>
      <w:r>
        <w:rPr>
          <w:rFonts w:hint="eastAsia" w:ascii="宋体" w:hAnsi="宋体" w:cs="宋体"/>
          <w:position w:val="-3"/>
          <w:sz w:val="32"/>
          <w:szCs w:val="32"/>
          <w:highlight w:val="none"/>
          <w:u w:val="single" w:color="000000"/>
        </w:rPr>
        <w:t xml:space="preserve">     </w:t>
      </w:r>
    </w:p>
    <w:p>
      <w:pPr>
        <w:spacing w:line="560" w:lineRule="exact"/>
        <w:ind w:firstLine="1280" w:firstLineChars="400"/>
        <w:rPr>
          <w:rFonts w:ascii="宋体" w:hAnsi="宋体" w:cs="宋体"/>
          <w:bCs/>
          <w:sz w:val="32"/>
          <w:highlight w:val="none"/>
        </w:rPr>
      </w:pPr>
    </w:p>
    <w:p>
      <w:pPr>
        <w:spacing w:line="560" w:lineRule="exact"/>
        <w:ind w:firstLine="1280" w:firstLineChars="400"/>
        <w:rPr>
          <w:rFonts w:ascii="宋体" w:hAnsi="宋体" w:cs="宋体"/>
          <w:bCs/>
          <w:sz w:val="32"/>
          <w:highlight w:val="none"/>
        </w:rPr>
      </w:pPr>
      <w:r>
        <w:rPr>
          <w:rFonts w:hint="eastAsia" w:ascii="宋体" w:hAnsi="宋体" w:cs="宋体"/>
          <w:bCs/>
          <w:sz w:val="32"/>
          <w:highlight w:val="none"/>
        </w:rPr>
        <w:t>申报产品条数：</w:t>
      </w:r>
      <w:r>
        <w:rPr>
          <w:rFonts w:hint="eastAsia" w:ascii="宋体" w:hAnsi="宋体" w:cs="宋体"/>
          <w:position w:val="-3"/>
          <w:sz w:val="32"/>
          <w:szCs w:val="32"/>
          <w:highlight w:val="none"/>
          <w:u w:val="single" w:color="000000"/>
        </w:rPr>
        <w:tab/>
      </w:r>
      <w:r>
        <w:rPr>
          <w:rFonts w:hint="eastAsia" w:ascii="宋体" w:hAnsi="宋体" w:cs="宋体"/>
          <w:position w:val="-3"/>
          <w:sz w:val="32"/>
          <w:szCs w:val="32"/>
          <w:highlight w:val="none"/>
          <w:u w:val="single" w:color="000000"/>
        </w:rPr>
        <w:tab/>
      </w:r>
      <w:r>
        <w:rPr>
          <w:rFonts w:hint="eastAsia" w:ascii="宋体" w:hAnsi="宋体" w:cs="宋体"/>
          <w:position w:val="-3"/>
          <w:sz w:val="32"/>
          <w:szCs w:val="32"/>
          <w:highlight w:val="none"/>
          <w:u w:val="single" w:color="000000"/>
        </w:rPr>
        <w:tab/>
      </w:r>
      <w:r>
        <w:rPr>
          <w:rFonts w:hint="eastAsia" w:ascii="宋体" w:hAnsi="宋体" w:cs="宋体"/>
          <w:position w:val="-3"/>
          <w:sz w:val="32"/>
          <w:szCs w:val="32"/>
          <w:highlight w:val="none"/>
          <w:u w:val="single" w:color="000000"/>
        </w:rPr>
        <w:t xml:space="preserve">   </w:t>
      </w:r>
      <w:r>
        <w:rPr>
          <w:rFonts w:hint="eastAsia" w:ascii="宋体" w:hAnsi="宋体" w:cs="宋体"/>
          <w:position w:val="-3"/>
          <w:sz w:val="32"/>
          <w:szCs w:val="32"/>
          <w:highlight w:val="none"/>
          <w:u w:val="single" w:color="000000"/>
        </w:rPr>
        <w:tab/>
      </w:r>
      <w:r>
        <w:rPr>
          <w:rFonts w:hint="eastAsia" w:ascii="宋体" w:hAnsi="宋体" w:cs="宋体"/>
          <w:position w:val="-3"/>
          <w:sz w:val="32"/>
          <w:szCs w:val="32"/>
          <w:highlight w:val="none"/>
          <w:u w:val="single" w:color="000000"/>
        </w:rPr>
        <w:tab/>
      </w:r>
      <w:r>
        <w:rPr>
          <w:rFonts w:hint="eastAsia" w:ascii="宋体" w:hAnsi="宋体" w:cs="宋体"/>
          <w:position w:val="-3"/>
          <w:sz w:val="32"/>
          <w:szCs w:val="32"/>
          <w:highlight w:val="none"/>
          <w:u w:val="single" w:color="000000"/>
        </w:rPr>
        <w:tab/>
      </w:r>
      <w:r>
        <w:rPr>
          <w:rFonts w:hint="eastAsia" w:ascii="宋体" w:hAnsi="宋体" w:cs="宋体"/>
          <w:position w:val="-3"/>
          <w:sz w:val="32"/>
          <w:szCs w:val="32"/>
          <w:highlight w:val="none"/>
          <w:u w:val="single" w:color="000000"/>
        </w:rPr>
        <w:t xml:space="preserve">  </w:t>
      </w:r>
    </w:p>
    <w:p>
      <w:pPr>
        <w:shd w:val="clear" w:color="auto" w:fill="FFFFFF"/>
        <w:spacing w:line="360" w:lineRule="auto"/>
        <w:rPr>
          <w:rFonts w:ascii="宋体" w:hAnsi="宋体" w:cs="宋体"/>
          <w:bCs/>
          <w:sz w:val="32"/>
          <w:highlight w:val="none"/>
        </w:rPr>
      </w:pPr>
      <w:r>
        <w:rPr>
          <w:rFonts w:hint="eastAsia" w:ascii="宋体" w:hAnsi="宋体" w:cs="宋体"/>
          <w:bCs/>
          <w:sz w:val="32"/>
          <w:highlight w:val="none"/>
        </w:rPr>
        <w:t xml:space="preserve">        </w:t>
      </w:r>
    </w:p>
    <w:p>
      <w:pPr>
        <w:shd w:val="clear" w:color="auto" w:fill="FFFFFF"/>
        <w:spacing w:line="360" w:lineRule="auto"/>
        <w:jc w:val="center"/>
        <w:rPr>
          <w:rFonts w:ascii="宋体" w:hAnsi="宋体" w:cs="宋体"/>
          <w:bCs/>
          <w:sz w:val="32"/>
          <w:highlight w:val="none"/>
        </w:rPr>
      </w:pPr>
      <w:r>
        <w:rPr>
          <w:rFonts w:hint="eastAsia" w:ascii="宋体" w:hAnsi="宋体" w:cs="宋体"/>
          <w:bCs/>
          <w:sz w:val="32"/>
          <w:highlight w:val="none"/>
        </w:rPr>
        <w:t xml:space="preserve"> 年  月  日</w:t>
      </w:r>
    </w:p>
    <w:p>
      <w:pPr>
        <w:rPr>
          <w:rFonts w:ascii="宋体" w:hAnsi="宋体" w:cs="宋体"/>
          <w:b/>
          <w:bCs/>
          <w:snapToGrid w:val="0"/>
          <w:kern w:val="0"/>
          <w:sz w:val="24"/>
          <w:highlight w:val="none"/>
        </w:rPr>
      </w:pPr>
      <w:r>
        <w:rPr>
          <w:rFonts w:hint="eastAsia" w:ascii="宋体" w:hAnsi="宋体" w:cs="宋体"/>
          <w:b/>
          <w:bCs/>
          <w:kern w:val="0"/>
          <w:sz w:val="32"/>
          <w:szCs w:val="32"/>
          <w:highlight w:val="none"/>
          <w:shd w:val="clear" w:color="auto" w:fill="FFFFFF"/>
        </w:rPr>
        <w:br w:type="page"/>
      </w:r>
      <w:r>
        <w:rPr>
          <w:rFonts w:hint="eastAsia" w:ascii="黑体" w:hAnsi="黑体" w:eastAsia="黑体" w:cs="黑体"/>
          <w:snapToGrid w:val="0"/>
          <w:kern w:val="0"/>
          <w:sz w:val="32"/>
          <w:szCs w:val="32"/>
          <w:highlight w:val="none"/>
        </w:rPr>
        <w:t>附件2</w:t>
      </w:r>
    </w:p>
    <w:p>
      <w:pPr>
        <w:spacing w:line="500" w:lineRule="exact"/>
        <w:jc w:val="center"/>
        <w:rPr>
          <w:rFonts w:ascii="宋体" w:hAnsi="宋体" w:cs="宋体"/>
          <w:b/>
          <w:sz w:val="32"/>
          <w:szCs w:val="32"/>
          <w:highlight w:val="none"/>
        </w:rPr>
      </w:pPr>
    </w:p>
    <w:p>
      <w:pPr>
        <w:spacing w:line="500" w:lineRule="exact"/>
        <w:jc w:val="center"/>
        <w:rPr>
          <w:rFonts w:ascii="宋体" w:hAnsi="宋体" w:cs="宋体"/>
          <w:b/>
          <w:sz w:val="36"/>
          <w:szCs w:val="36"/>
          <w:highlight w:val="none"/>
        </w:rPr>
      </w:pPr>
      <w:r>
        <w:rPr>
          <w:rFonts w:hint="eastAsia" w:ascii="宋体" w:hAnsi="宋体" w:cs="宋体"/>
          <w:b/>
          <w:sz w:val="36"/>
          <w:szCs w:val="36"/>
          <w:highlight w:val="none"/>
        </w:rPr>
        <w:t>省际联盟缝合线等5类医用耗材</w:t>
      </w:r>
    </w:p>
    <w:p>
      <w:pPr>
        <w:spacing w:line="500" w:lineRule="exact"/>
        <w:jc w:val="center"/>
        <w:rPr>
          <w:rFonts w:ascii="宋体" w:hAnsi="宋体" w:cs="宋体"/>
          <w:b/>
          <w:sz w:val="36"/>
          <w:szCs w:val="36"/>
          <w:highlight w:val="none"/>
        </w:rPr>
      </w:pPr>
      <w:r>
        <w:rPr>
          <w:rFonts w:hint="eastAsia" w:ascii="宋体" w:hAnsi="宋体" w:cs="宋体"/>
          <w:b/>
          <w:sz w:val="36"/>
          <w:szCs w:val="36"/>
          <w:highlight w:val="none"/>
        </w:rPr>
        <w:t>集中带量采购承诺函</w:t>
      </w:r>
    </w:p>
    <w:p>
      <w:pPr>
        <w:pStyle w:val="49"/>
        <w:rPr>
          <w:rFonts w:cs="宋体"/>
          <w:highlight w:val="none"/>
        </w:rPr>
      </w:pPr>
    </w:p>
    <w:p>
      <w:pPr>
        <w:pStyle w:val="49"/>
        <w:rPr>
          <w:rFonts w:cs="宋体"/>
          <w:highlight w:val="none"/>
        </w:rPr>
      </w:pPr>
      <w:r>
        <w:rPr>
          <w:rFonts w:hint="eastAsia" w:cs="宋体"/>
          <w:highlight w:val="none"/>
        </w:rPr>
        <w:t>省际联盟采购领导小组办公室：</w:t>
      </w:r>
    </w:p>
    <w:p>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在充分理解《省际联盟缝合线等5类医用耗材集中带量采购文件》（编号：SJLM-24-HC2025-1）后，我方决定按照采购文件的规定申报参与，并保证申报的价格及其他证明材料的真实性、合法性、有效性。 </w:t>
      </w:r>
    </w:p>
    <w:p>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我方已充分考虑原材料价格、配送、税费、服务等因素，并以此申报。我方承诺申报价格不低于本企业该产品成本价。我方完全理解及遵守采购文件中的中选产品确认准则，理解贵方不一定要接受最低申报价格的申报。 </w:t>
      </w:r>
    </w:p>
    <w:p>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我方承诺确保在采购周期内满足我方确定供应地区中选产品对应所有规格型号的采购需求，具有履行采购协议必须具备的中选产品供应能力，对产品的质量和供应负责。我方承诺严格要求配送企业和代理商，向医疗机构主动提供中选的产品。如我方产品中选，将按要求及时足量组织生产，及时向配送企业发送中选产品，按协议要求向医疗机构提供伴随服务，满足医疗机构临床使用需要，确保中选产品的价格、质量及数量等一切要素按照采购协议履行。如有违约行为，按照采购文件有关规定接受处置。 </w:t>
      </w:r>
    </w:p>
    <w:p>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我方承诺申报产品不存在违反《中华人民共和国专利法》《中华人民共和国反不正当竞争法》《中华人民共和国反垄断法》等相关法律法规的情形，该承诺在采购周期内持续有效，若产生相关纠纷，给医疗机构造成的损失由我方承担。 </w:t>
      </w:r>
    </w:p>
    <w:p>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我方承诺遵守医药价格和招采信用评价制度的各项规定。 </w:t>
      </w:r>
    </w:p>
    <w:p>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我方承诺同联合采购办公室无利益关系，不会为达成此项目与医疗机构进行任何不正当联系。我方承诺在申报过程中自主报价，不与其他企业串通申报、协商报价，不存在利益交换等情形，对报价负全部责任，对本企业内部投标管理人员加强教育与约束，不干扰集中采购相关工作秩序，不会在申报过程中有任何违法违规行为。如存在协商串通报价等行为，我方承担给采购方造成的损失，并按照采购文件相关规定，接受相应的处置。在正式采购协议签订前，本申报函和中选结果通知将构成约束双方的协议。 </w:t>
      </w:r>
    </w:p>
    <w:p>
      <w:pPr>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    </w:t>
      </w:r>
    </w:p>
    <w:p>
      <w:pPr>
        <w:spacing w:before="50" w:after="50" w:line="500" w:lineRule="exact"/>
        <w:rPr>
          <w:rFonts w:ascii="宋体" w:hAnsi="宋体" w:cs="宋体"/>
          <w:bCs/>
          <w:sz w:val="24"/>
          <w:highlight w:val="none"/>
        </w:rPr>
      </w:pPr>
    </w:p>
    <w:p>
      <w:pPr>
        <w:spacing w:before="50" w:after="50" w:line="500" w:lineRule="exact"/>
        <w:rPr>
          <w:rFonts w:ascii="宋体" w:hAnsi="宋体" w:cs="宋体"/>
          <w:bCs/>
          <w:sz w:val="24"/>
          <w:highlight w:val="none"/>
        </w:rPr>
      </w:pPr>
    </w:p>
    <w:p>
      <w:pPr>
        <w:spacing w:before="50" w:after="50" w:line="500" w:lineRule="exact"/>
        <w:rPr>
          <w:rFonts w:ascii="宋体" w:hAnsi="宋体" w:cs="宋体"/>
          <w:bCs/>
          <w:sz w:val="24"/>
          <w:highlight w:val="none"/>
        </w:rPr>
      </w:pPr>
    </w:p>
    <w:p>
      <w:pPr>
        <w:spacing w:before="50" w:after="50" w:line="500" w:lineRule="exact"/>
        <w:ind w:firstLine="1680" w:firstLineChars="700"/>
        <w:rPr>
          <w:rFonts w:ascii="宋体" w:hAnsi="宋体" w:cs="宋体"/>
          <w:bCs/>
          <w:sz w:val="24"/>
          <w:highlight w:val="none"/>
        </w:rPr>
      </w:pPr>
    </w:p>
    <w:p>
      <w:pPr>
        <w:spacing w:before="50" w:after="50" w:line="500" w:lineRule="exact"/>
        <w:ind w:firstLine="1680" w:firstLineChars="700"/>
        <w:rPr>
          <w:rFonts w:ascii="宋体" w:hAnsi="宋体" w:cs="宋体"/>
          <w:bCs/>
          <w:sz w:val="24"/>
          <w:highlight w:val="none"/>
          <w:u w:val="single"/>
        </w:rPr>
      </w:pPr>
      <w:r>
        <w:rPr>
          <w:rFonts w:hint="eastAsia" w:ascii="宋体" w:hAnsi="宋体" w:cs="宋体"/>
          <w:bCs/>
          <w:sz w:val="24"/>
          <w:highlight w:val="none"/>
        </w:rPr>
        <w:t>申报企业（盖章）：</w:t>
      </w:r>
      <w:r>
        <w:rPr>
          <w:rFonts w:hint="eastAsia" w:ascii="宋体" w:hAnsi="宋体" w:cs="宋体"/>
          <w:bCs/>
          <w:sz w:val="24"/>
          <w:highlight w:val="none"/>
          <w:u w:val="single"/>
        </w:rPr>
        <w:t xml:space="preserve">                                      </w:t>
      </w:r>
    </w:p>
    <w:p>
      <w:pPr>
        <w:spacing w:before="50" w:after="50" w:line="500" w:lineRule="exact"/>
        <w:rPr>
          <w:rFonts w:ascii="宋体" w:hAnsi="宋体" w:cs="宋体"/>
          <w:bCs/>
          <w:sz w:val="24"/>
          <w:highlight w:val="none"/>
        </w:rPr>
      </w:pPr>
      <w:r>
        <w:rPr>
          <w:rFonts w:hint="eastAsia" w:ascii="宋体" w:hAnsi="宋体" w:cs="宋体"/>
          <w:bCs/>
          <w:sz w:val="24"/>
          <w:highlight w:val="none"/>
        </w:rPr>
        <w:t xml:space="preserve">              法定代表人（签字）：</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spacing w:before="50" w:after="50" w:line="500" w:lineRule="exact"/>
        <w:rPr>
          <w:rFonts w:ascii="宋体" w:hAnsi="宋体" w:cs="宋体"/>
          <w:bCs/>
          <w:sz w:val="24"/>
          <w:highlight w:val="none"/>
        </w:rPr>
      </w:pPr>
      <w:r>
        <w:rPr>
          <w:rFonts w:hint="eastAsia" w:ascii="宋体" w:hAnsi="宋体" w:cs="宋体"/>
          <w:bCs/>
          <w:sz w:val="24"/>
          <w:highlight w:val="none"/>
        </w:rPr>
        <w:t xml:space="preserve">              日    期：2025年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pPr>
        <w:rPr>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pStyle w:val="20"/>
        <w:rPr>
          <w:rFonts w:ascii="黑体" w:hAnsi="黑体" w:eastAsia="黑体" w:cs="黑体"/>
          <w:snapToGrid w:val="0"/>
          <w:color w:val="auto"/>
          <w:sz w:val="32"/>
          <w:szCs w:val="32"/>
          <w:highlight w:val="none"/>
        </w:rPr>
      </w:pPr>
    </w:p>
    <w:p>
      <w:pPr>
        <w:pStyle w:val="20"/>
        <w:rPr>
          <w:rFonts w:ascii="黑体" w:hAnsi="黑体" w:eastAsia="黑体" w:cs="黑体"/>
          <w:snapToGrid w:val="0"/>
          <w:color w:val="auto"/>
          <w:sz w:val="32"/>
          <w:szCs w:val="32"/>
          <w:highlight w:val="none"/>
        </w:rPr>
      </w:pPr>
    </w:p>
    <w:p>
      <w:pPr>
        <w:pStyle w:val="20"/>
        <w:rPr>
          <w:rFonts w:ascii="黑体" w:hAnsi="黑体" w:eastAsia="黑体" w:cs="黑体"/>
          <w:snapToGrid w:val="0"/>
          <w:color w:val="auto"/>
          <w:sz w:val="32"/>
          <w:szCs w:val="32"/>
          <w:highlight w:val="none"/>
        </w:rPr>
      </w:pPr>
    </w:p>
    <w:p>
      <w:pPr>
        <w:pStyle w:val="20"/>
        <w:rPr>
          <w:rFonts w:ascii="黑体" w:hAnsi="黑体" w:eastAsia="黑体" w:cs="黑体"/>
          <w:snapToGrid w:val="0"/>
          <w:color w:val="auto"/>
          <w:sz w:val="32"/>
          <w:szCs w:val="32"/>
          <w:highlight w:val="none"/>
        </w:rPr>
      </w:pPr>
    </w:p>
    <w:p>
      <w:pPr>
        <w:adjustRightInd w:val="0"/>
        <w:snapToGrid w:val="0"/>
        <w:spacing w:line="440" w:lineRule="exact"/>
        <w:ind w:right="71"/>
        <w:rPr>
          <w:rFonts w:ascii="宋体" w:hAnsi="宋体" w:cs="宋体"/>
          <w:b/>
          <w:bCs/>
          <w:snapToGrid w:val="0"/>
          <w:kern w:val="0"/>
          <w:sz w:val="24"/>
          <w:highlight w:val="none"/>
        </w:rPr>
      </w:pPr>
      <w:r>
        <w:rPr>
          <w:rFonts w:hint="eastAsia" w:ascii="黑体" w:hAnsi="黑体" w:eastAsia="黑体" w:cs="黑体"/>
          <w:snapToGrid w:val="0"/>
          <w:kern w:val="0"/>
          <w:sz w:val="32"/>
          <w:szCs w:val="32"/>
          <w:highlight w:val="none"/>
        </w:rPr>
        <w:t>附件3</w:t>
      </w:r>
    </w:p>
    <w:p>
      <w:pPr>
        <w:spacing w:line="500" w:lineRule="exact"/>
        <w:jc w:val="center"/>
        <w:rPr>
          <w:rFonts w:ascii="宋体" w:hAnsi="宋体" w:cs="宋体"/>
          <w:b/>
          <w:sz w:val="36"/>
          <w:szCs w:val="36"/>
          <w:highlight w:val="none"/>
        </w:rPr>
      </w:pPr>
      <w:r>
        <w:rPr>
          <w:rFonts w:hint="eastAsia" w:ascii="宋体" w:hAnsi="宋体" w:cs="宋体"/>
          <w:b/>
          <w:sz w:val="36"/>
          <w:szCs w:val="36"/>
          <w:highlight w:val="none"/>
        </w:rPr>
        <w:t>申报产品一览表（平台打印）</w:t>
      </w:r>
    </w:p>
    <w:p>
      <w:pPr>
        <w:rPr>
          <w:rFonts w:ascii="宋体" w:hAnsi="宋体" w:cs="宋体"/>
          <w:b/>
          <w:bCs/>
          <w:snapToGrid w:val="0"/>
          <w:kern w:val="0"/>
          <w:sz w:val="24"/>
          <w:highlight w:val="none"/>
        </w:rPr>
      </w:pPr>
      <w:r>
        <w:rPr>
          <w:rFonts w:hint="eastAsia" w:ascii="宋体" w:hAnsi="宋体" w:cs="宋体"/>
          <w:b/>
          <w:bCs/>
          <w:snapToGrid w:val="0"/>
          <w:kern w:val="0"/>
          <w:sz w:val="24"/>
          <w:highlight w:val="none"/>
        </w:rPr>
        <w:br w:type="page"/>
      </w:r>
    </w:p>
    <w:p>
      <w:pPr>
        <w:adjustRightInd w:val="0"/>
        <w:snapToGrid w:val="0"/>
        <w:spacing w:line="440" w:lineRule="exact"/>
        <w:ind w:right="71"/>
        <w:rPr>
          <w:rFonts w:ascii="宋体" w:hAnsi="宋体" w:cs="宋体"/>
          <w:b/>
          <w:kern w:val="0"/>
          <w:sz w:val="24"/>
          <w:highlight w:val="none"/>
        </w:rPr>
      </w:pPr>
      <w:r>
        <w:rPr>
          <w:rFonts w:hint="eastAsia" w:ascii="黑体" w:hAnsi="黑体" w:eastAsia="黑体" w:cs="黑体"/>
          <w:snapToGrid w:val="0"/>
          <w:kern w:val="0"/>
          <w:sz w:val="32"/>
          <w:szCs w:val="32"/>
          <w:highlight w:val="none"/>
        </w:rPr>
        <w:t>附件4</w:t>
      </w:r>
    </w:p>
    <w:p>
      <w:pPr>
        <w:spacing w:line="560" w:lineRule="exact"/>
        <w:jc w:val="center"/>
        <w:rPr>
          <w:rFonts w:ascii="宋体" w:hAnsi="宋体" w:cs="宋体"/>
          <w:b/>
          <w:sz w:val="36"/>
          <w:szCs w:val="36"/>
          <w:highlight w:val="none"/>
        </w:rPr>
      </w:pPr>
      <w:r>
        <w:rPr>
          <w:rFonts w:hint="eastAsia" w:ascii="宋体" w:hAnsi="宋体" w:cs="宋体"/>
          <w:b/>
          <w:sz w:val="36"/>
          <w:szCs w:val="36"/>
          <w:highlight w:val="none"/>
        </w:rPr>
        <w:t>法定代表人身份证明书</w:t>
      </w:r>
    </w:p>
    <w:p>
      <w:pPr>
        <w:spacing w:line="560" w:lineRule="exact"/>
        <w:jc w:val="center"/>
        <w:rPr>
          <w:rFonts w:ascii="宋体" w:hAnsi="宋体" w:cs="宋体"/>
          <w:sz w:val="24"/>
          <w:highlight w:val="none"/>
        </w:rPr>
      </w:pPr>
      <w:r>
        <w:rPr>
          <w:rFonts w:hint="eastAsia" w:ascii="宋体" w:hAnsi="宋体" w:cs="宋体"/>
          <w:bCs/>
          <w:sz w:val="24"/>
          <w:highlight w:val="none"/>
        </w:rPr>
        <w:t>（</w:t>
      </w:r>
      <w:r>
        <w:rPr>
          <w:rFonts w:hint="eastAsia" w:ascii="宋体" w:hAnsi="宋体" w:cs="宋体"/>
          <w:sz w:val="24"/>
          <w:highlight w:val="none"/>
        </w:rPr>
        <w:t>法定代表人参加申报的，出具此证明书</w:t>
      </w:r>
      <w:r>
        <w:rPr>
          <w:rFonts w:hint="eastAsia" w:ascii="宋体" w:hAnsi="宋体" w:cs="宋体"/>
          <w:bCs/>
          <w:sz w:val="24"/>
          <w:highlight w:val="none"/>
        </w:rPr>
        <w:t>）</w:t>
      </w:r>
    </w:p>
    <w:p>
      <w:pPr>
        <w:spacing w:line="480" w:lineRule="exact"/>
        <w:rPr>
          <w:rFonts w:ascii="宋体" w:hAnsi="宋体" w:cs="宋体"/>
          <w:sz w:val="24"/>
          <w:highlight w:val="none"/>
        </w:rPr>
      </w:pPr>
    </w:p>
    <w:p>
      <w:pPr>
        <w:spacing w:line="500" w:lineRule="exact"/>
        <w:ind w:firstLine="480" w:firstLineChars="200"/>
        <w:rPr>
          <w:rFonts w:ascii="宋体" w:hAnsi="宋体" w:cs="宋体"/>
          <w:bCs/>
          <w:sz w:val="24"/>
          <w:highlight w:val="none"/>
          <w:u w:val="single"/>
        </w:rPr>
      </w:pPr>
      <w:r>
        <w:rPr>
          <w:rFonts w:hint="eastAsia" w:ascii="宋体" w:hAnsi="宋体" w:cs="宋体"/>
          <w:bCs/>
          <w:sz w:val="24"/>
          <w:highlight w:val="none"/>
        </w:rPr>
        <w:t>本授权书声明：注册于</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（公司地址）的</w:t>
      </w:r>
      <w:r>
        <w:rPr>
          <w:rFonts w:hint="eastAsia" w:ascii="宋体" w:hAnsi="宋体" w:cs="宋体"/>
          <w:bCs/>
          <w:sz w:val="24"/>
          <w:highlight w:val="none"/>
          <w:u w:val="single"/>
        </w:rPr>
        <w:t xml:space="preserve">                         </w:t>
      </w:r>
      <w:r>
        <w:rPr>
          <w:rFonts w:hint="eastAsia" w:ascii="宋体" w:hAnsi="宋体" w:cs="宋体"/>
          <w:bCs/>
          <w:sz w:val="24"/>
          <w:highlight w:val="none"/>
        </w:rPr>
        <w:t>公司（公司名称）</w:t>
      </w:r>
      <w:r>
        <w:rPr>
          <w:rFonts w:hint="eastAsia" w:ascii="宋体" w:hAnsi="宋体" w:cs="宋体"/>
          <w:bCs/>
          <w:sz w:val="24"/>
          <w:highlight w:val="none"/>
          <w:u w:val="single"/>
        </w:rPr>
        <w:t xml:space="preserve">                         </w:t>
      </w:r>
      <w:r>
        <w:rPr>
          <w:rFonts w:hint="eastAsia" w:ascii="宋体" w:hAnsi="宋体" w:cs="宋体"/>
          <w:bCs/>
          <w:sz w:val="24"/>
          <w:highlight w:val="none"/>
        </w:rPr>
        <w:t>（法定代表人姓名、职务）代表本公司负责在缝合线等5类医用耗材集中带量采购项目中提交申报文件、确认申报相关信息、参与议价、签订合同及执行和完成合同、售后服务等工作，并以本公司名义处理一切与之有关的事务。</w:t>
      </w:r>
    </w:p>
    <w:p>
      <w:pPr>
        <w:spacing w:line="500" w:lineRule="exact"/>
        <w:jc w:val="left"/>
        <w:rPr>
          <w:rFonts w:ascii="宋体" w:hAnsi="宋体" w:cs="宋体"/>
          <w:bCs/>
          <w:sz w:val="24"/>
          <w:highlight w:val="none"/>
        </w:rPr>
      </w:pPr>
      <w:r>
        <w:rPr>
          <w:rFonts w:hint="eastAsia" w:ascii="宋体" w:hAnsi="宋体" w:cs="宋体"/>
          <w:bCs/>
          <w:sz w:val="24"/>
          <w:highlight w:val="none"/>
        </w:rPr>
        <w:t xml:space="preserve">    本授权书于2025年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 xml:space="preserve">日签字生效，特此声明。                                                              </w:t>
      </w:r>
    </w:p>
    <w:p>
      <w:pPr>
        <w:spacing w:line="500" w:lineRule="exact"/>
        <w:ind w:firstLine="555"/>
        <w:jc w:val="left"/>
        <w:rPr>
          <w:rFonts w:ascii="宋体" w:hAnsi="宋体" w:cs="宋体"/>
          <w:bCs/>
          <w:sz w:val="24"/>
          <w:highlight w:val="none"/>
        </w:rPr>
      </w:pPr>
    </w:p>
    <w:p>
      <w:pPr>
        <w:spacing w:before="50" w:after="50" w:line="500" w:lineRule="exact"/>
        <w:rPr>
          <w:rFonts w:ascii="宋体" w:hAnsi="宋体" w:cs="宋体"/>
          <w:bCs/>
          <w:sz w:val="24"/>
          <w:highlight w:val="none"/>
          <w:u w:val="single"/>
        </w:rPr>
      </w:pPr>
      <w:r>
        <w:rPr>
          <w:rFonts w:hint="eastAsia" w:ascii="宋体" w:hAnsi="宋体" w:cs="宋体"/>
          <w:bCs/>
          <w:sz w:val="24"/>
          <w:highlight w:val="none"/>
        </w:rPr>
        <w:t xml:space="preserve">    申报企业（盖章）：</w:t>
      </w:r>
      <w:r>
        <w:rPr>
          <w:rFonts w:hint="eastAsia" w:ascii="宋体" w:hAnsi="宋体" w:cs="宋体"/>
          <w:bCs/>
          <w:sz w:val="24"/>
          <w:highlight w:val="none"/>
          <w:u w:val="single"/>
        </w:rPr>
        <w:t xml:space="preserve">                                      </w:t>
      </w:r>
    </w:p>
    <w:p>
      <w:pPr>
        <w:spacing w:before="50" w:after="50" w:line="500" w:lineRule="exact"/>
        <w:rPr>
          <w:rFonts w:ascii="宋体" w:hAnsi="宋体" w:cs="宋体"/>
          <w:bCs/>
          <w:sz w:val="24"/>
          <w:highlight w:val="none"/>
        </w:rPr>
      </w:pPr>
      <w:r>
        <w:rPr>
          <w:rFonts w:hint="eastAsia" w:ascii="宋体" w:hAnsi="宋体" w:cs="宋体"/>
          <w:bCs/>
          <w:sz w:val="24"/>
          <w:highlight w:val="none"/>
        </w:rPr>
        <w:t xml:space="preserve">    法定代表人（签字）：</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spacing w:before="50" w:after="50" w:line="500" w:lineRule="exact"/>
        <w:rPr>
          <w:rFonts w:ascii="宋体" w:hAnsi="宋体" w:cs="宋体"/>
          <w:bCs/>
          <w:sz w:val="24"/>
          <w:highlight w:val="none"/>
        </w:rPr>
      </w:pPr>
      <w:r>
        <w:rPr>
          <w:rFonts w:hint="eastAsia" w:ascii="宋体" w:hAnsi="宋体" w:cs="宋体"/>
          <w:bCs/>
          <w:sz w:val="24"/>
          <w:highlight w:val="none"/>
        </w:rPr>
        <w:t xml:space="preserve">    日    期：2025年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pPr>
        <w:spacing w:line="500" w:lineRule="exact"/>
        <w:jc w:val="left"/>
        <w:rPr>
          <w:rFonts w:ascii="宋体" w:hAnsi="宋体" w:cs="宋体"/>
          <w:bCs/>
          <w:sz w:val="24"/>
          <w:highlight w:val="none"/>
        </w:rPr>
      </w:pPr>
      <w:r>
        <w:rPr>
          <w:rFonts w:ascii="宋体" w:hAnsi="宋体" w:cs="宋体"/>
          <w:bCs/>
          <w:sz w:val="24"/>
          <w:highlight w:val="none"/>
          <w:u w:val="single"/>
        </w:rPr>
        <w:pict>
          <v:rect id="_x0000_s1026" o:spid="_x0000_s1026" o:spt="1" style="position:absolute;left:0pt;margin-left:102.75pt;margin-top:21.6pt;height:150.4pt;width:225pt;z-index:251659264;mso-width-relative:page;mso-height-relative:page;" coordsize="21600,21600" o:gfxdata="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&#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Tsqsr2AAAAAoBAAAPAAAAAAAAAAEAIAAAADgAAABk&#10;cnMvZG93bnJldi54bWxQSwECFAAUAAAACACHTuJAsdT6JPABAADtAwAADgAAAAAAAAABACAAAAA9&#10;AQAAZHJzL2Uyb0RvYy54bWxQSwUGAAAAAAYABgBZAQAAnwUAAAAA&#10;">
            <v:path/>
            <v:fill focussize="0,0"/>
            <v:stroke/>
            <v:imagedata o:title=""/>
            <o:lock v:ext="edit"/>
            <v:textbox>
              <w:txbxContent>
                <w:p>
                  <w:pPr>
                    <w:rPr>
                      <w:rFonts w:eastAsia="黑体"/>
                      <w:b/>
                      <w:sz w:val="30"/>
                    </w:rPr>
                  </w:pPr>
                </w:p>
                <w:p>
                  <w:pPr>
                    <w:jc w:val="center"/>
                    <w:rPr>
                      <w:rFonts w:asciiTheme="minorEastAsia" w:hAnsiTheme="minorEastAsia"/>
                      <w:b/>
                      <w:sz w:val="28"/>
                    </w:rPr>
                  </w:pPr>
                  <w:r>
                    <w:rPr>
                      <w:rFonts w:hint="eastAsia" w:asciiTheme="minorEastAsia" w:hAnsiTheme="minorEastAsia"/>
                      <w:b/>
                      <w:sz w:val="28"/>
                    </w:rPr>
                    <w:t>法定代表人</w:t>
                  </w:r>
                </w:p>
                <w:p>
                  <w:pPr>
                    <w:jc w:val="center"/>
                    <w:rPr>
                      <w:rFonts w:asciiTheme="minorEastAsia" w:hAnsiTheme="minorEastAsia"/>
                      <w:sz w:val="28"/>
                    </w:rPr>
                  </w:pPr>
                  <w:r>
                    <w:rPr>
                      <w:rFonts w:hint="eastAsia" w:asciiTheme="minorEastAsia" w:hAnsiTheme="minorEastAsia"/>
                      <w:b/>
                      <w:sz w:val="28"/>
                    </w:rPr>
                    <w:t>居民身份证人像面复印件粘贴处</w:t>
                  </w:r>
                </w:p>
              </w:txbxContent>
            </v:textbox>
          </v:rect>
        </w:pict>
      </w:r>
    </w:p>
    <w:p>
      <w:pPr>
        <w:spacing w:line="500" w:lineRule="exact"/>
        <w:ind w:firstLine="555"/>
        <w:jc w:val="left"/>
        <w:rPr>
          <w:rFonts w:ascii="宋体" w:hAnsi="宋体" w:cs="宋体"/>
          <w:bCs/>
          <w:sz w:val="24"/>
          <w:highlight w:val="none"/>
          <w:u w:val="single"/>
        </w:rPr>
      </w:pPr>
    </w:p>
    <w:p>
      <w:pPr>
        <w:spacing w:line="500" w:lineRule="exact"/>
        <w:ind w:firstLine="555"/>
        <w:jc w:val="left"/>
        <w:rPr>
          <w:rFonts w:ascii="宋体" w:hAnsi="宋体" w:cs="宋体"/>
          <w:bCs/>
          <w:sz w:val="24"/>
          <w:highlight w:val="none"/>
          <w:u w:val="single"/>
        </w:rPr>
      </w:pPr>
    </w:p>
    <w:p>
      <w:pPr>
        <w:spacing w:line="500" w:lineRule="exact"/>
        <w:ind w:firstLine="555"/>
        <w:jc w:val="left"/>
        <w:rPr>
          <w:rFonts w:ascii="宋体" w:hAnsi="宋体" w:cs="宋体"/>
          <w:bCs/>
          <w:sz w:val="24"/>
          <w:highlight w:val="none"/>
          <w:u w:val="single"/>
        </w:rPr>
      </w:pPr>
    </w:p>
    <w:p>
      <w:pPr>
        <w:spacing w:line="500" w:lineRule="exact"/>
        <w:ind w:firstLine="555"/>
        <w:jc w:val="left"/>
        <w:rPr>
          <w:rFonts w:ascii="宋体" w:hAnsi="宋体" w:cs="宋体"/>
          <w:bCs/>
          <w:sz w:val="24"/>
          <w:highlight w:val="none"/>
          <w:u w:val="single"/>
        </w:rPr>
      </w:pPr>
    </w:p>
    <w:p>
      <w:pPr>
        <w:spacing w:line="500" w:lineRule="exact"/>
        <w:rPr>
          <w:rFonts w:ascii="宋体" w:hAnsi="宋体" w:cs="宋体"/>
          <w:bCs/>
          <w:sz w:val="24"/>
          <w:highlight w:val="none"/>
        </w:rPr>
      </w:pPr>
    </w:p>
    <w:p>
      <w:pPr>
        <w:pStyle w:val="50"/>
        <w:widowControl w:val="0"/>
        <w:spacing w:before="0" w:beforeAutospacing="0" w:after="0" w:afterAutospacing="0"/>
        <w:jc w:val="both"/>
        <w:rPr>
          <w:rFonts w:hint="default" w:ascii="宋体" w:eastAsia="宋体" w:cs="宋体"/>
          <w:bCs w:val="0"/>
          <w:kern w:val="2"/>
          <w:sz w:val="24"/>
          <w:szCs w:val="24"/>
          <w:highlight w:val="none"/>
        </w:rPr>
      </w:pPr>
    </w:p>
    <w:p>
      <w:pPr>
        <w:pStyle w:val="50"/>
        <w:widowControl w:val="0"/>
        <w:spacing w:before="0" w:beforeAutospacing="0" w:after="0" w:afterAutospacing="0"/>
        <w:rPr>
          <w:rFonts w:hint="default" w:ascii="宋体" w:eastAsia="宋体" w:cs="宋体"/>
          <w:bCs w:val="0"/>
          <w:kern w:val="2"/>
          <w:sz w:val="24"/>
          <w:szCs w:val="24"/>
          <w:highlight w:val="none"/>
        </w:rPr>
      </w:pPr>
    </w:p>
    <w:p>
      <w:pPr>
        <w:pStyle w:val="50"/>
        <w:widowControl w:val="0"/>
        <w:spacing w:before="0" w:beforeAutospacing="0" w:after="0" w:afterAutospacing="0"/>
        <w:rPr>
          <w:rFonts w:hint="default" w:ascii="宋体" w:eastAsia="宋体" w:cs="宋体"/>
          <w:sz w:val="36"/>
          <w:szCs w:val="36"/>
          <w:highlight w:val="none"/>
        </w:rPr>
      </w:pPr>
      <w:r>
        <w:rPr>
          <w:rFonts w:ascii="宋体" w:eastAsia="宋体" w:cs="宋体"/>
          <w:bCs w:val="0"/>
          <w:kern w:val="2"/>
          <w:sz w:val="24"/>
          <w:szCs w:val="24"/>
          <w:highlight w:val="none"/>
        </w:rPr>
        <w:t>（请在身份证处加盖申报企业公章）</w:t>
      </w:r>
    </w:p>
    <w:p>
      <w:pPr>
        <w:pStyle w:val="20"/>
        <w:rPr>
          <w:color w:val="auto"/>
          <w:highlight w:val="none"/>
        </w:rPr>
      </w:pPr>
    </w:p>
    <w:p>
      <w:pPr>
        <w:spacing w:line="560" w:lineRule="exact"/>
        <w:jc w:val="center"/>
        <w:rPr>
          <w:rFonts w:ascii="宋体" w:hAnsi="宋体" w:cs="宋体"/>
          <w:b/>
          <w:sz w:val="36"/>
          <w:szCs w:val="36"/>
          <w:highlight w:val="none"/>
        </w:rPr>
      </w:pPr>
      <w:r>
        <w:rPr>
          <w:rFonts w:hint="eastAsia" w:ascii="宋体" w:hAnsi="宋体" w:cs="宋体"/>
          <w:b/>
          <w:sz w:val="36"/>
          <w:szCs w:val="36"/>
          <w:highlight w:val="none"/>
        </w:rPr>
        <w:t>法定代表人授权委托书</w:t>
      </w:r>
    </w:p>
    <w:p>
      <w:pPr>
        <w:spacing w:line="560" w:lineRule="exact"/>
        <w:jc w:val="center"/>
        <w:rPr>
          <w:rFonts w:ascii="宋体" w:hAnsi="宋体" w:cs="宋体"/>
          <w:sz w:val="24"/>
          <w:highlight w:val="none"/>
        </w:rPr>
      </w:pPr>
      <w:r>
        <w:rPr>
          <w:rFonts w:hint="eastAsia" w:ascii="宋体" w:hAnsi="宋体" w:cs="宋体"/>
          <w:sz w:val="24"/>
          <w:highlight w:val="none"/>
        </w:rPr>
        <w:t>（授权代表人参加申报的，出具此授权委托书）</w:t>
      </w:r>
    </w:p>
    <w:p>
      <w:pPr>
        <w:spacing w:line="360" w:lineRule="auto"/>
        <w:rPr>
          <w:rFonts w:ascii="宋体" w:hAnsi="宋体" w:cs="宋体"/>
          <w:sz w:val="24"/>
          <w:highlight w:val="none"/>
        </w:rPr>
      </w:pPr>
    </w:p>
    <w:p>
      <w:pPr>
        <w:spacing w:line="500" w:lineRule="exact"/>
        <w:ind w:firstLine="480" w:firstLineChars="200"/>
        <w:rPr>
          <w:rFonts w:ascii="宋体" w:hAnsi="宋体" w:cs="宋体"/>
          <w:bCs/>
          <w:sz w:val="24"/>
          <w:highlight w:val="none"/>
          <w:u w:val="single"/>
        </w:rPr>
      </w:pPr>
      <w:r>
        <w:rPr>
          <w:rFonts w:hint="eastAsia" w:ascii="宋体" w:hAnsi="宋体" w:cs="宋体"/>
          <w:bCs/>
          <w:sz w:val="24"/>
          <w:highlight w:val="none"/>
        </w:rPr>
        <w:t>本授权书声明： 注册于</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（公司地址）的</w:t>
      </w:r>
      <w:r>
        <w:rPr>
          <w:rFonts w:hint="eastAsia" w:ascii="宋体" w:hAnsi="宋体" w:cs="宋体"/>
          <w:bCs/>
          <w:sz w:val="24"/>
          <w:highlight w:val="none"/>
          <w:u w:val="single"/>
        </w:rPr>
        <w:t xml:space="preserve">                        </w:t>
      </w:r>
      <w:r>
        <w:rPr>
          <w:rFonts w:hint="eastAsia" w:ascii="宋体" w:hAnsi="宋体" w:cs="宋体"/>
          <w:bCs/>
          <w:sz w:val="24"/>
          <w:highlight w:val="none"/>
        </w:rPr>
        <w:t>公司（公司名称）</w:t>
      </w:r>
      <w:r>
        <w:rPr>
          <w:rFonts w:hint="eastAsia" w:ascii="宋体" w:hAnsi="宋体" w:cs="宋体"/>
          <w:bCs/>
          <w:sz w:val="24"/>
          <w:highlight w:val="none"/>
          <w:u w:val="single"/>
        </w:rPr>
        <w:t xml:space="preserve">                          </w:t>
      </w:r>
      <w:r>
        <w:rPr>
          <w:rFonts w:hint="eastAsia" w:ascii="宋体" w:hAnsi="宋体" w:cs="宋体"/>
          <w:bCs/>
          <w:sz w:val="24"/>
          <w:highlight w:val="none"/>
        </w:rPr>
        <w:t>（法定代表人姓名、职务）代表本公司授权</w:t>
      </w:r>
      <w:r>
        <w:rPr>
          <w:rFonts w:hint="eastAsia" w:ascii="宋体" w:hAnsi="宋体" w:cs="宋体"/>
          <w:bCs/>
          <w:sz w:val="24"/>
          <w:highlight w:val="none"/>
          <w:u w:val="single"/>
        </w:rPr>
        <w:t xml:space="preserve">                    </w:t>
      </w:r>
      <w:r>
        <w:rPr>
          <w:rFonts w:hint="eastAsia" w:ascii="宋体" w:hAnsi="宋体" w:cs="宋体"/>
          <w:bCs/>
          <w:sz w:val="24"/>
          <w:highlight w:val="none"/>
        </w:rPr>
        <w:t>（被授权人的姓名、职务）为本公司的合法代理人，负责在缝合线等5类医用耗材集中带量采购项目中提交申报文件、确认申报相关信息、参与议价、签订合同及执行和完成合同、售后服务等工作，并以本公司名义处理一切与之有关的事务。本公司认可，被授权人的签字与本公司公章具有相同的法律效力。</w:t>
      </w:r>
    </w:p>
    <w:p>
      <w:pPr>
        <w:spacing w:line="500" w:lineRule="exact"/>
        <w:jc w:val="left"/>
        <w:rPr>
          <w:rFonts w:ascii="宋体" w:hAnsi="宋体" w:cs="宋体"/>
          <w:bCs/>
          <w:sz w:val="24"/>
          <w:highlight w:val="none"/>
        </w:rPr>
      </w:pPr>
      <w:r>
        <w:rPr>
          <w:rFonts w:hint="eastAsia" w:ascii="宋体" w:hAnsi="宋体" w:cs="宋体"/>
          <w:bCs/>
          <w:sz w:val="24"/>
          <w:highlight w:val="none"/>
        </w:rPr>
        <w:t xml:space="preserve">    本授权书于2025年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 xml:space="preserve">日签字生效，特此声明。                                                              </w:t>
      </w:r>
    </w:p>
    <w:p>
      <w:pPr>
        <w:spacing w:before="50" w:after="50" w:line="500" w:lineRule="exact"/>
        <w:rPr>
          <w:rFonts w:ascii="宋体" w:hAnsi="宋体" w:cs="宋体"/>
          <w:bCs/>
          <w:sz w:val="24"/>
          <w:highlight w:val="none"/>
        </w:rPr>
      </w:pPr>
      <w:r>
        <w:rPr>
          <w:rFonts w:hint="eastAsia" w:ascii="宋体" w:hAnsi="宋体" w:cs="宋体"/>
          <w:bCs/>
          <w:sz w:val="24"/>
          <w:highlight w:val="none"/>
        </w:rPr>
        <w:t xml:space="preserve">    </w:t>
      </w:r>
    </w:p>
    <w:p>
      <w:pPr>
        <w:spacing w:before="50" w:after="50" w:line="500" w:lineRule="exact"/>
        <w:rPr>
          <w:rFonts w:ascii="宋体" w:hAnsi="宋体" w:cs="宋体"/>
          <w:bCs/>
          <w:sz w:val="24"/>
          <w:highlight w:val="none"/>
          <w:u w:val="single"/>
        </w:rPr>
      </w:pPr>
      <w:r>
        <w:rPr>
          <w:rFonts w:hint="eastAsia" w:ascii="宋体" w:hAnsi="宋体" w:cs="宋体"/>
          <w:bCs/>
          <w:sz w:val="24"/>
          <w:highlight w:val="none"/>
        </w:rPr>
        <w:t xml:space="preserve">    申报企业（盖章）：</w:t>
      </w:r>
      <w:r>
        <w:rPr>
          <w:rFonts w:hint="eastAsia" w:ascii="宋体" w:hAnsi="宋体" w:cs="宋体"/>
          <w:bCs/>
          <w:sz w:val="24"/>
          <w:highlight w:val="none"/>
          <w:u w:val="single"/>
        </w:rPr>
        <w:t xml:space="preserve">                                      </w:t>
      </w:r>
    </w:p>
    <w:p>
      <w:pPr>
        <w:spacing w:before="50" w:after="50" w:line="500" w:lineRule="exact"/>
        <w:rPr>
          <w:rFonts w:ascii="宋体" w:hAnsi="宋体" w:cs="宋体"/>
          <w:bCs/>
          <w:sz w:val="24"/>
          <w:highlight w:val="none"/>
        </w:rPr>
      </w:pPr>
      <w:r>
        <w:rPr>
          <w:rFonts w:hint="eastAsia" w:ascii="宋体" w:hAnsi="宋体" w:cs="宋体"/>
          <w:bCs/>
          <w:sz w:val="24"/>
          <w:highlight w:val="none"/>
        </w:rPr>
        <w:t xml:space="preserve">    法定代表人（签字）：</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spacing w:before="50" w:after="50" w:line="500" w:lineRule="exact"/>
        <w:rPr>
          <w:rFonts w:ascii="宋体" w:hAnsi="宋体" w:cs="宋体"/>
          <w:bCs/>
          <w:sz w:val="24"/>
          <w:highlight w:val="none"/>
        </w:rPr>
      </w:pPr>
      <w:r>
        <w:rPr>
          <w:rFonts w:hint="eastAsia" w:ascii="宋体" w:hAnsi="宋体" w:cs="宋体"/>
          <w:bCs/>
          <w:sz w:val="24"/>
          <w:highlight w:val="none"/>
        </w:rPr>
        <w:t xml:space="preserve">    代理人（被授权人）签字：</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spacing w:before="50" w:after="50" w:line="500" w:lineRule="exact"/>
        <w:rPr>
          <w:rFonts w:ascii="宋体" w:hAnsi="宋体" w:cs="宋体"/>
          <w:bCs/>
          <w:sz w:val="24"/>
          <w:highlight w:val="none"/>
        </w:rPr>
      </w:pPr>
      <w:r>
        <w:rPr>
          <w:rFonts w:hint="eastAsia" w:ascii="宋体" w:hAnsi="宋体" w:cs="宋体"/>
          <w:bCs/>
          <w:sz w:val="24"/>
          <w:highlight w:val="none"/>
        </w:rPr>
        <w:t xml:space="preserve">    日    期：2025年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pPr>
        <w:spacing w:line="500" w:lineRule="exact"/>
        <w:ind w:firstLine="555"/>
        <w:jc w:val="left"/>
        <w:rPr>
          <w:rFonts w:ascii="宋体" w:hAnsi="宋体" w:cs="宋体"/>
          <w:bCs/>
          <w:sz w:val="24"/>
          <w:highlight w:val="none"/>
          <w:u w:val="single"/>
        </w:rPr>
      </w:pPr>
      <w:r>
        <w:rPr>
          <w:rFonts w:ascii="宋体" w:hAnsi="宋体" w:cs="宋体"/>
          <w:bCs/>
          <w:sz w:val="24"/>
          <w:highlight w:val="none"/>
          <w:u w:val="single"/>
        </w:rPr>
        <w:pict>
          <v:rect id="_x0000_s1028" o:spid="_x0000_s1028" o:spt="1" style="position:absolute;left:0pt;margin-left:225pt;margin-top:2.4pt;height:150.4pt;width:225pt;z-index:251660288;mso-width-relative:page;mso-height-relative:page;" coordsize="21600,21600" o:gfxdata="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ETrz71gAAAAkBAAAPAAAAAAAAAAEAIAAAADgAAABkcnMv&#10;ZG93bnJldi54bWxQSwECFAAUAAAACACHTuJAD+94QO8BAADtAwAADgAAAAAAAAABACAAAAA7AQAA&#10;ZHJzL2Uyb0RvYy54bWxQSwUGAAAAAAYABgBZAQAAnAUAAAAA&#10;">
            <v:path/>
            <v:fill focussize="0,0"/>
            <v:stroke/>
            <v:imagedata o:title=""/>
            <o:lock v:ext="edit"/>
            <v:textbox>
              <w:txbxContent>
                <w:p>
                  <w:pPr>
                    <w:rPr>
                      <w:rFonts w:eastAsia="黑体"/>
                      <w:b/>
                      <w:sz w:val="30"/>
                    </w:rPr>
                  </w:pPr>
                </w:p>
                <w:p>
                  <w:pPr>
                    <w:jc w:val="center"/>
                    <w:rPr>
                      <w:rFonts w:asciiTheme="minorEastAsia" w:hAnsiTheme="minorEastAsia"/>
                      <w:b/>
                      <w:sz w:val="28"/>
                    </w:rPr>
                  </w:pPr>
                  <w:r>
                    <w:rPr>
                      <w:rFonts w:hint="eastAsia" w:asciiTheme="minorEastAsia" w:hAnsiTheme="minorEastAsia"/>
                      <w:b/>
                      <w:sz w:val="28"/>
                    </w:rPr>
                    <w:t>被授权人</w:t>
                  </w:r>
                </w:p>
                <w:p>
                  <w:pPr>
                    <w:jc w:val="center"/>
                    <w:rPr>
                      <w:rFonts w:asciiTheme="minorEastAsia" w:hAnsiTheme="minorEastAsia"/>
                      <w:b/>
                      <w:sz w:val="28"/>
                    </w:rPr>
                  </w:pPr>
                  <w:r>
                    <w:rPr>
                      <w:rFonts w:hint="eastAsia" w:asciiTheme="minorEastAsia" w:hAnsiTheme="minorEastAsia"/>
                      <w:b/>
                      <w:sz w:val="28"/>
                    </w:rPr>
                    <w:t>居民身份证人像面复印件粘贴处</w:t>
                  </w:r>
                </w:p>
              </w:txbxContent>
            </v:textbox>
          </v:rect>
        </w:pict>
      </w:r>
      <w:r>
        <w:rPr>
          <w:rFonts w:ascii="宋体" w:hAnsi="宋体" w:cs="宋体"/>
          <w:bCs/>
          <w:sz w:val="24"/>
          <w:highlight w:val="none"/>
          <w:u w:val="single"/>
        </w:rPr>
        <w:pict>
          <v:rect id="_x0000_s1027" o:spid="_x0000_s1027" o:spt="1" style="position:absolute;left:0pt;margin-left:-9pt;margin-top:2.4pt;height:150.4pt;width:225pt;z-index:251661312;mso-width-relative:page;mso-height-relative:page;" coordsize="21600,21600" o:gfxdata="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DkYkrbXAAAACQEAAA8AAAAAAAAAAQAgAAAAOAAAAGRy&#10;cy9kb3ducmV2LnhtbFBLAQIUABQAAAAIAIdO4kDNo/7t8AEAAO0DAAAOAAAAAAAAAAEAIAAAADwB&#10;AABkcnMvZTJvRG9jLnhtbFBLBQYAAAAABgAGAFkBAACeBQAAAAA=&#10;">
            <v:path/>
            <v:fill focussize="0,0"/>
            <v:stroke/>
            <v:imagedata o:title=""/>
            <o:lock v:ext="edit"/>
            <v:textbox>
              <w:txbxContent>
                <w:p>
                  <w:pPr>
                    <w:rPr>
                      <w:rFonts w:asciiTheme="minorEastAsia" w:hAnsiTheme="minorEastAsia"/>
                      <w:b/>
                      <w:sz w:val="30"/>
                    </w:rPr>
                  </w:pPr>
                </w:p>
                <w:p>
                  <w:pPr>
                    <w:jc w:val="center"/>
                    <w:rPr>
                      <w:rFonts w:asciiTheme="minorEastAsia" w:hAnsiTheme="minorEastAsia"/>
                      <w:b/>
                      <w:sz w:val="28"/>
                    </w:rPr>
                  </w:pPr>
                  <w:r>
                    <w:rPr>
                      <w:rFonts w:hint="eastAsia" w:asciiTheme="minorEastAsia" w:hAnsiTheme="minorEastAsia"/>
                      <w:b/>
                      <w:sz w:val="28"/>
                    </w:rPr>
                    <w:t>法定代表人</w:t>
                  </w:r>
                </w:p>
                <w:p>
                  <w:pPr>
                    <w:jc w:val="center"/>
                    <w:rPr>
                      <w:rFonts w:asciiTheme="minorEastAsia" w:hAnsiTheme="minorEastAsia"/>
                      <w:sz w:val="28"/>
                    </w:rPr>
                  </w:pPr>
                  <w:r>
                    <w:rPr>
                      <w:rFonts w:hint="eastAsia" w:asciiTheme="minorEastAsia" w:hAnsiTheme="minorEastAsia"/>
                      <w:b/>
                      <w:sz w:val="28"/>
                    </w:rPr>
                    <w:t>居民身份证人像面复印件粘贴处</w:t>
                  </w:r>
                </w:p>
              </w:txbxContent>
            </v:textbox>
          </v:rect>
        </w:pict>
      </w:r>
    </w:p>
    <w:p>
      <w:pPr>
        <w:spacing w:line="500" w:lineRule="exact"/>
        <w:ind w:firstLine="555"/>
        <w:jc w:val="left"/>
        <w:rPr>
          <w:rFonts w:ascii="宋体" w:hAnsi="宋体" w:cs="宋体"/>
          <w:bCs/>
          <w:sz w:val="24"/>
          <w:highlight w:val="none"/>
          <w:u w:val="single"/>
        </w:rPr>
      </w:pPr>
    </w:p>
    <w:p>
      <w:pPr>
        <w:spacing w:line="500" w:lineRule="exact"/>
        <w:ind w:firstLine="555"/>
        <w:jc w:val="left"/>
        <w:rPr>
          <w:rFonts w:ascii="宋体" w:hAnsi="宋体" w:cs="宋体"/>
          <w:bCs/>
          <w:sz w:val="24"/>
          <w:highlight w:val="none"/>
          <w:u w:val="single"/>
        </w:rPr>
      </w:pPr>
    </w:p>
    <w:p>
      <w:pPr>
        <w:spacing w:line="500" w:lineRule="exact"/>
        <w:ind w:firstLine="555"/>
        <w:jc w:val="left"/>
        <w:rPr>
          <w:rFonts w:ascii="宋体" w:hAnsi="宋体" w:cs="宋体"/>
          <w:bCs/>
          <w:sz w:val="24"/>
          <w:highlight w:val="none"/>
          <w:u w:val="single"/>
        </w:rPr>
      </w:pPr>
    </w:p>
    <w:p>
      <w:pPr>
        <w:spacing w:line="500" w:lineRule="exact"/>
        <w:rPr>
          <w:rFonts w:ascii="宋体" w:hAnsi="宋体" w:cs="宋体"/>
          <w:bCs/>
          <w:sz w:val="32"/>
          <w:highlight w:val="none"/>
        </w:rPr>
      </w:pPr>
    </w:p>
    <w:p>
      <w:pPr>
        <w:pStyle w:val="50"/>
        <w:widowControl w:val="0"/>
        <w:spacing w:before="0" w:beforeAutospacing="0" w:after="0" w:afterAutospacing="0"/>
        <w:ind w:firstLine="1100" w:firstLineChars="393"/>
        <w:jc w:val="both"/>
        <w:rPr>
          <w:rFonts w:hint="default" w:ascii="宋体" w:eastAsia="宋体" w:cs="宋体"/>
          <w:bCs w:val="0"/>
          <w:kern w:val="2"/>
          <w:szCs w:val="24"/>
          <w:highlight w:val="none"/>
        </w:rPr>
      </w:pPr>
    </w:p>
    <w:p>
      <w:pPr>
        <w:jc w:val="both"/>
        <w:rPr>
          <w:rFonts w:ascii="宋体" w:hAnsi="宋体" w:cs="宋体"/>
          <w:b/>
          <w:bCs/>
          <w:sz w:val="24"/>
          <w:highlight w:val="none"/>
        </w:rPr>
      </w:pPr>
      <w:r>
        <w:rPr>
          <w:rFonts w:hint="eastAsia" w:ascii="宋体" w:hAnsi="宋体" w:cs="宋体"/>
          <w:b/>
          <w:bCs/>
          <w:sz w:val="24"/>
          <w:highlight w:val="none"/>
        </w:rPr>
        <w:t>（请在身份证处加盖申报企业公章）</w:t>
      </w:r>
    </w:p>
    <w:p>
      <w:pPr>
        <w:rPr>
          <w:rFonts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br w:type="page"/>
      </w:r>
    </w:p>
    <w:p>
      <w:pPr>
        <w:rPr>
          <w:rFonts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附件5</w:t>
      </w:r>
    </w:p>
    <w:p>
      <w:pPr>
        <w:spacing w:line="560" w:lineRule="exact"/>
        <w:ind w:right="-105" w:rightChars="-50"/>
        <w:rPr>
          <w:rFonts w:ascii="宋体" w:hAnsi="宋体" w:cs="宋体"/>
          <w:b/>
          <w:bCs/>
          <w:sz w:val="44"/>
          <w:szCs w:val="44"/>
          <w:highlight w:val="none"/>
        </w:rPr>
      </w:pPr>
    </w:p>
    <w:p>
      <w:pPr>
        <w:spacing w:line="560" w:lineRule="exact"/>
        <w:jc w:val="center"/>
        <w:rPr>
          <w:rFonts w:ascii="宋体" w:hAnsi="宋体" w:cs="宋体"/>
          <w:b/>
          <w:sz w:val="36"/>
          <w:szCs w:val="36"/>
          <w:highlight w:val="none"/>
        </w:rPr>
      </w:pPr>
      <w:r>
        <w:rPr>
          <w:rFonts w:hint="eastAsia" w:ascii="宋体" w:hAnsi="宋体" w:cs="宋体"/>
          <w:b/>
          <w:sz w:val="36"/>
          <w:szCs w:val="36"/>
          <w:highlight w:val="none"/>
        </w:rPr>
        <w:t>医药企业价格和营销行为信用承诺书</w:t>
      </w:r>
    </w:p>
    <w:p>
      <w:pPr>
        <w:spacing w:line="560" w:lineRule="exact"/>
        <w:rPr>
          <w:rFonts w:ascii="宋体" w:hAnsi="宋体" w:cs="宋体"/>
          <w:sz w:val="24"/>
          <w:highlight w:val="none"/>
        </w:rPr>
      </w:pPr>
    </w:p>
    <w:p>
      <w:pPr>
        <w:pStyle w:val="49"/>
        <w:rPr>
          <w:rFonts w:cs="宋体"/>
          <w:highlight w:val="none"/>
        </w:rPr>
      </w:pPr>
      <w:r>
        <w:rPr>
          <w:rFonts w:hint="eastAsia" w:cs="宋体"/>
          <w:highlight w:val="none"/>
        </w:rPr>
        <w:t>省际联盟采购领导小组办公室：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我方</w:t>
      </w:r>
      <w:r>
        <w:rPr>
          <w:rFonts w:hint="eastAsia" w:ascii="宋体" w:hAnsi="宋体" w:cs="宋体"/>
          <w:sz w:val="24"/>
          <w:highlight w:val="none"/>
          <w:u w:val="single"/>
        </w:rPr>
        <w:t xml:space="preserve">                       </w:t>
      </w:r>
      <w:r>
        <w:rPr>
          <w:rFonts w:hint="eastAsia" w:ascii="宋体" w:hAnsi="宋体" w:cs="宋体"/>
          <w:sz w:val="24"/>
          <w:highlight w:val="none"/>
        </w:rPr>
        <w:t>公司（公司名称），就参加或受委托参加医用耗材集中带量采购、平台挂网、产品配送，郑重做出以下承诺：</w:t>
      </w:r>
    </w:p>
    <w:p>
      <w:pPr>
        <w:spacing w:line="560" w:lineRule="exact"/>
        <w:ind w:firstLine="480" w:firstLineChars="200"/>
        <w:rPr>
          <w:rFonts w:ascii="宋体" w:hAnsi="宋体" w:cs="宋体"/>
          <w:b/>
          <w:bCs/>
          <w:sz w:val="24"/>
          <w:highlight w:val="none"/>
        </w:rPr>
      </w:pPr>
      <w:r>
        <w:rPr>
          <w:rFonts w:hint="eastAsia" w:ascii="宋体" w:hAnsi="宋体" w:cs="宋体"/>
          <w:b/>
          <w:bCs/>
          <w:sz w:val="24"/>
          <w:highlight w:val="none"/>
        </w:rPr>
        <w:t>一、严守法纪、恪守诚信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我方承诺，自觉遵守《中华人民共和国民法典》《中华人民共和国价格法》《中华人民共和国药品管理法》《中华人民共和国反不正当竞争法》《中华人民共和国反垄断法》等法律法规，医药价格和招标采购的政策，以及</w:t>
      </w:r>
      <w:r>
        <w:rPr>
          <w:rFonts w:hint="eastAsia" w:ascii="宋体" w:hAnsi="宋体" w:cs="宋体"/>
          <w:bCs/>
          <w:sz w:val="24"/>
          <w:highlight w:val="none"/>
        </w:rPr>
        <w:t>省际联盟缝合线等5类医用耗材集中带量采购相关文件</w:t>
      </w:r>
      <w:r>
        <w:rPr>
          <w:rFonts w:hint="eastAsia" w:ascii="宋体" w:hAnsi="宋体" w:cs="宋体"/>
          <w:sz w:val="24"/>
          <w:highlight w:val="none"/>
        </w:rPr>
        <w:t>之规定，诚信经营，共同营造公平的交易环境。</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（二）我方承诺，不向采购我方医用耗材的医疗机构管理人员、采购人员、医师、药师等有关人员给予回扣或其他不正当利益。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（三）我方承诺，不实施虚开增值税发票及其他形式虚构服务套现洗钱行为。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（四）我方承诺，不利用医用耗材垄断地位或市场支配地位，操纵医用耗材价格和供应牟取暴利。不针对不同群体、不同渠道制定实施明显不合理的差异化定价。</w:t>
      </w:r>
    </w:p>
    <w:p>
      <w:pPr>
        <w:spacing w:line="560" w:lineRule="exact"/>
        <w:ind w:firstLine="480" w:firstLineChars="200"/>
        <w:rPr>
          <w:rFonts w:ascii="宋体" w:hAnsi="宋体" w:cs="宋体"/>
          <w:b/>
          <w:bCs/>
          <w:sz w:val="24"/>
          <w:highlight w:val="none"/>
        </w:rPr>
      </w:pPr>
      <w:r>
        <w:rPr>
          <w:rFonts w:hint="eastAsia" w:ascii="宋体" w:hAnsi="宋体" w:cs="宋体"/>
          <w:b/>
          <w:bCs/>
          <w:sz w:val="24"/>
          <w:highlight w:val="none"/>
        </w:rPr>
        <w:t>二、履行合同、配合监管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（一）我方承诺，具有履行协议必须具备的医用耗材供应能力，除我方不可抗的因素造成供应困难外，保证在采购周期按照中选价格及时足量供应医用耗材，满足临床需求。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（三）我方承诺，及时、全面、完整、规范申报失信信息，不漏报，不瞒报，不推诿。</w:t>
      </w:r>
    </w:p>
    <w:p>
      <w:pPr>
        <w:spacing w:line="560" w:lineRule="exact"/>
        <w:ind w:firstLine="480" w:firstLineChars="200"/>
        <w:rPr>
          <w:rFonts w:ascii="宋体" w:hAnsi="宋体" w:cs="宋体"/>
          <w:b/>
          <w:bCs/>
          <w:sz w:val="24"/>
          <w:highlight w:val="none"/>
        </w:rPr>
      </w:pPr>
      <w:r>
        <w:rPr>
          <w:rFonts w:hint="eastAsia" w:ascii="宋体" w:hAnsi="宋体" w:cs="宋体"/>
          <w:b/>
          <w:bCs/>
          <w:sz w:val="24"/>
          <w:highlight w:val="none"/>
        </w:rPr>
        <w:t>三、违约担责，接受处置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（一）我方承诺，如我方医用耗材购销中存在违背已承诺事项的，我方愿意接受集中采购机构作出的信用评级结果以及结合信用等级实施的处置措施。</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（四）我方承诺，主动维护良好信用，必要时采取切实措施修复信用。</w:t>
      </w:r>
    </w:p>
    <w:p>
      <w:pPr>
        <w:rPr>
          <w:rFonts w:ascii="宋体" w:hAnsi="宋体" w:cs="宋体"/>
          <w:sz w:val="24"/>
          <w:highlight w:val="none"/>
        </w:rPr>
      </w:pP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                    承诺企业（盖章）:</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法定代表人（签字）:</w:t>
      </w:r>
    </w:p>
    <w:p>
      <w:pPr>
        <w:spacing w:line="560" w:lineRule="exact"/>
        <w:ind w:firstLine="5760" w:firstLineChars="2400"/>
        <w:rPr>
          <w:rFonts w:ascii="宋体" w:hAnsi="宋体" w:cs="宋体"/>
          <w:sz w:val="24"/>
          <w:highlight w:val="none"/>
        </w:rPr>
      </w:pPr>
      <w:r>
        <w:rPr>
          <w:rFonts w:hint="eastAsia" w:ascii="宋体" w:hAnsi="宋体" w:cs="宋体"/>
          <w:sz w:val="24"/>
          <w:highlight w:val="none"/>
        </w:rPr>
        <w:t>2025年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rPr>
          <w:rFonts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br w:type="page"/>
      </w:r>
    </w:p>
    <w:p>
      <w:pPr>
        <w:rPr>
          <w:rFonts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附件6</w:t>
      </w:r>
    </w:p>
    <w:p>
      <w:pPr>
        <w:spacing w:line="560" w:lineRule="exact"/>
        <w:jc w:val="center"/>
        <w:rPr>
          <w:rFonts w:ascii="宋体" w:hAnsi="宋体" w:cs="宋体"/>
          <w:b/>
          <w:sz w:val="36"/>
          <w:szCs w:val="36"/>
          <w:highlight w:val="none"/>
        </w:rPr>
      </w:pPr>
      <w:r>
        <w:rPr>
          <w:rFonts w:hint="eastAsia" w:ascii="宋体" w:hAnsi="宋体" w:cs="宋体"/>
          <w:b/>
          <w:sz w:val="36"/>
          <w:szCs w:val="36"/>
          <w:highlight w:val="none"/>
        </w:rPr>
        <w:t>知识产权承诺书</w:t>
      </w:r>
    </w:p>
    <w:p>
      <w:pPr>
        <w:pStyle w:val="49"/>
        <w:rPr>
          <w:rFonts w:cs="宋体"/>
          <w:highlight w:val="none"/>
        </w:rPr>
      </w:pPr>
    </w:p>
    <w:p>
      <w:pPr>
        <w:pStyle w:val="49"/>
        <w:rPr>
          <w:rFonts w:cs="宋体"/>
          <w:highlight w:val="none"/>
        </w:rPr>
      </w:pPr>
      <w:r>
        <w:rPr>
          <w:rFonts w:hint="eastAsia" w:cs="宋体"/>
          <w:highlight w:val="none"/>
        </w:rPr>
        <w:t>省际联盟采购领导小组办公室：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我方</w:t>
      </w:r>
      <w:r>
        <w:rPr>
          <w:rFonts w:hint="eastAsia" w:ascii="宋体" w:hAnsi="宋体" w:cs="宋体"/>
          <w:sz w:val="24"/>
          <w:highlight w:val="none"/>
          <w:u w:val="single"/>
        </w:rPr>
        <w:t xml:space="preserve">                       </w:t>
      </w:r>
      <w:r>
        <w:rPr>
          <w:rFonts w:hint="eastAsia" w:ascii="宋体" w:hAnsi="宋体" w:cs="宋体"/>
          <w:sz w:val="24"/>
          <w:highlight w:val="none"/>
        </w:rPr>
        <w:t>公司（公司名称），承诺持有</w:t>
      </w:r>
      <w:r>
        <w:rPr>
          <w:rFonts w:ascii="宋体" w:hAnsi="宋体" w:cs="宋体"/>
          <w:sz w:val="24"/>
          <w:highlight w:val="none"/>
        </w:rPr>
        <w:t>/</w:t>
      </w:r>
      <w:r>
        <w:rPr>
          <w:rFonts w:hint="eastAsia" w:ascii="宋体" w:hAnsi="宋体" w:cs="宋体"/>
          <w:sz w:val="24"/>
          <w:highlight w:val="none"/>
        </w:rPr>
        <w:t xml:space="preserve">生产的本次申报耗材产品不存在违反《中华人民共和国专利法》等相关法律法规情形，不侵犯任何第三方的知识产权，可正常参与本次项目（采购文件编号：SJLM-24-HC2025-1）。若我方在中选后，被第三方起诉侵权，并要求采购方承担赔偿责任或其他责任的，我方承担采购方因此遭受的全部损失。如因知识产权相关纠纷无法正常供应中选产品，我方承担给采购方造成的损失，并按照采购文件相关规定，接受取消中选资格。如存在虚假承诺的，按相关条款处置。 </w:t>
      </w:r>
    </w:p>
    <w:p>
      <w:pPr>
        <w:widowControl/>
        <w:jc w:val="left"/>
        <w:rPr>
          <w:rFonts w:ascii="仿宋_GB2312" w:hAnsi="仿宋_GB2312" w:eastAsia="仿宋_GB2312" w:cs="仿宋_GB2312"/>
          <w:kern w:val="0"/>
          <w:sz w:val="31"/>
          <w:szCs w:val="31"/>
          <w:highlight w:val="none"/>
        </w:rPr>
      </w:pPr>
    </w:p>
    <w:p>
      <w:pPr>
        <w:pStyle w:val="20"/>
        <w:rPr>
          <w:rFonts w:ascii="仿宋_GB2312" w:hAnsi="仿宋_GB2312" w:eastAsia="仿宋_GB2312" w:cs="仿宋_GB2312"/>
          <w:color w:val="auto"/>
          <w:sz w:val="31"/>
          <w:szCs w:val="31"/>
          <w:highlight w:val="none"/>
        </w:rPr>
      </w:pPr>
    </w:p>
    <w:p>
      <w:pPr>
        <w:pStyle w:val="20"/>
        <w:rPr>
          <w:rFonts w:ascii="仿宋_GB2312" w:hAnsi="仿宋_GB2312" w:eastAsia="仿宋_GB2312" w:cs="仿宋_GB2312"/>
          <w:color w:val="auto"/>
          <w:sz w:val="31"/>
          <w:szCs w:val="31"/>
          <w:highlight w:val="none"/>
        </w:rPr>
      </w:pPr>
    </w:p>
    <w:p>
      <w:pPr>
        <w:pStyle w:val="20"/>
        <w:rPr>
          <w:rFonts w:ascii="仿宋_GB2312" w:hAnsi="仿宋_GB2312" w:eastAsia="仿宋_GB2312" w:cs="仿宋_GB2312"/>
          <w:color w:val="auto"/>
          <w:sz w:val="31"/>
          <w:szCs w:val="31"/>
          <w:highlight w:val="none"/>
        </w:rPr>
      </w:pP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                    承诺企业（盖章）:</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法定代表人（签字）:</w:t>
      </w:r>
    </w:p>
    <w:p>
      <w:pPr>
        <w:spacing w:line="560" w:lineRule="exact"/>
        <w:rPr>
          <w:rFonts w:ascii="宋体" w:hAnsi="宋体" w:cs="宋体"/>
          <w:sz w:val="24"/>
          <w:highlight w:val="none"/>
        </w:rPr>
      </w:pPr>
    </w:p>
    <w:p>
      <w:pPr>
        <w:ind w:firstLine="5520" w:firstLineChars="2300"/>
        <w:rPr>
          <w:rFonts w:ascii="宋体" w:hAnsi="宋体" w:cs="宋体"/>
          <w:sz w:val="24"/>
          <w:highlight w:val="none"/>
        </w:rPr>
      </w:pPr>
    </w:p>
    <w:p>
      <w:pPr>
        <w:ind w:firstLine="5520" w:firstLineChars="2300"/>
        <w:rPr>
          <w:rFonts w:hint="eastAsia" w:ascii="Nimbus Roman No9 L" w:hAnsi="Nimbus Roman No9 L" w:eastAsia="仿宋" w:cs="仿宋"/>
          <w:kern w:val="0"/>
          <w:sz w:val="32"/>
          <w:szCs w:val="32"/>
          <w:highlight w:val="none"/>
          <w:shd w:val="clear" w:color="auto" w:fill="FFFFFF"/>
        </w:rPr>
      </w:pPr>
      <w:r>
        <w:rPr>
          <w:rFonts w:hint="eastAsia" w:ascii="宋体" w:hAnsi="宋体" w:cs="宋体"/>
          <w:sz w:val="24"/>
          <w:highlight w:val="none"/>
        </w:rPr>
        <w:t>2025年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Nimbus Roman No9 L" w:hAnsi="Nimbus Roman No9 L" w:eastAsia="仿宋" w:cs="仿宋"/>
          <w:kern w:val="0"/>
          <w:sz w:val="32"/>
          <w:szCs w:val="32"/>
          <w:highlight w:val="none"/>
          <w:shd w:val="clear" w:color="auto" w:fill="FFFFFF"/>
        </w:rPr>
        <w:br w:type="page"/>
      </w:r>
    </w:p>
    <w:p>
      <w:pPr>
        <w:rPr>
          <w:rFonts w:ascii="宋体" w:hAnsi="宋体" w:cs="宋体"/>
          <w:b/>
          <w:sz w:val="36"/>
          <w:szCs w:val="36"/>
          <w:highlight w:val="none"/>
        </w:rPr>
      </w:pPr>
      <w:r>
        <w:rPr>
          <w:rFonts w:hint="eastAsia" w:ascii="黑体" w:hAnsi="黑体" w:eastAsia="黑体" w:cs="黑体"/>
          <w:snapToGrid w:val="0"/>
          <w:kern w:val="0"/>
          <w:sz w:val="32"/>
          <w:szCs w:val="32"/>
          <w:highlight w:val="none"/>
        </w:rPr>
        <w:t>附件7</w:t>
      </w:r>
    </w:p>
    <w:p>
      <w:pPr>
        <w:spacing w:line="560" w:lineRule="exact"/>
        <w:jc w:val="center"/>
        <w:rPr>
          <w:rFonts w:ascii="宋体" w:hAnsi="宋体" w:cs="宋体"/>
          <w:b/>
          <w:sz w:val="36"/>
          <w:szCs w:val="36"/>
          <w:highlight w:val="none"/>
        </w:rPr>
      </w:pPr>
      <w:r>
        <w:rPr>
          <w:rFonts w:hint="eastAsia" w:ascii="宋体" w:hAnsi="宋体" w:cs="宋体"/>
          <w:b/>
          <w:sz w:val="36"/>
          <w:szCs w:val="36"/>
          <w:highlight w:val="none"/>
        </w:rPr>
        <w:t>企业关联关系表</w:t>
      </w:r>
    </w:p>
    <w:p>
      <w:pPr>
        <w:pStyle w:val="20"/>
        <w:rPr>
          <w:color w:val="auto"/>
          <w:highlight w:val="none"/>
        </w:rPr>
      </w:pPr>
    </w:p>
    <w:tbl>
      <w:tblPr>
        <w:tblStyle w:val="13"/>
        <w:tblW w:w="9855" w:type="dxa"/>
        <w:tblInd w:w="-411" w:type="dxa"/>
        <w:tblLayout w:type="fixed"/>
        <w:tblCellMar>
          <w:top w:w="0" w:type="dxa"/>
          <w:left w:w="108" w:type="dxa"/>
          <w:bottom w:w="0" w:type="dxa"/>
          <w:right w:w="108" w:type="dxa"/>
        </w:tblCellMar>
      </w:tblPr>
      <w:tblGrid>
        <w:gridCol w:w="1237"/>
        <w:gridCol w:w="2535"/>
        <w:gridCol w:w="2228"/>
        <w:gridCol w:w="1635"/>
        <w:gridCol w:w="2220"/>
      </w:tblGrid>
      <w:tr>
        <w:tblPrEx>
          <w:tblCellMar>
            <w:top w:w="0" w:type="dxa"/>
            <w:left w:w="108" w:type="dxa"/>
            <w:bottom w:w="0" w:type="dxa"/>
            <w:right w:w="108" w:type="dxa"/>
          </w:tblCellMar>
        </w:tblPrEx>
        <w:trPr>
          <w:trHeight w:val="40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sz w:val="24"/>
                <w:highlight w:val="none"/>
              </w:rPr>
            </w:pPr>
            <w:r>
              <w:rPr>
                <w:rFonts w:hint="eastAsia" w:ascii="宋体" w:hAnsi="宋体" w:cs="宋体"/>
                <w:b/>
                <w:bCs/>
                <w:kern w:val="0"/>
                <w:sz w:val="24"/>
                <w:highlight w:val="none"/>
              </w:rPr>
              <w:t>产品分组</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4"/>
                <w:highlight w:val="none"/>
              </w:rPr>
            </w:pPr>
            <w:r>
              <w:rPr>
                <w:rFonts w:hint="eastAsia" w:ascii="宋体" w:hAnsi="宋体" w:cs="宋体"/>
                <w:b/>
                <w:bCs/>
                <w:kern w:val="0"/>
                <w:sz w:val="24"/>
                <w:highlight w:val="none"/>
              </w:rPr>
              <w:t>申报企业</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4"/>
                <w:highlight w:val="none"/>
              </w:rPr>
            </w:pPr>
            <w:r>
              <w:rPr>
                <w:rFonts w:hint="eastAsia" w:ascii="宋体" w:hAnsi="宋体" w:cs="宋体"/>
                <w:b/>
                <w:bCs/>
                <w:kern w:val="0"/>
                <w:sz w:val="24"/>
                <w:highlight w:val="none"/>
              </w:rPr>
              <w:t>生产企业</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4"/>
                <w:highlight w:val="none"/>
              </w:rPr>
            </w:pPr>
            <w:r>
              <w:rPr>
                <w:rFonts w:hint="eastAsia" w:ascii="宋体" w:hAnsi="宋体" w:cs="宋体"/>
                <w:b/>
                <w:bCs/>
                <w:kern w:val="0"/>
                <w:sz w:val="24"/>
                <w:highlight w:val="none"/>
              </w:rPr>
              <w:t>关联关系</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4"/>
                <w:highlight w:val="none"/>
              </w:rPr>
            </w:pPr>
            <w:r>
              <w:rPr>
                <w:rFonts w:hint="eastAsia" w:ascii="宋体" w:hAnsi="宋体" w:cs="宋体"/>
                <w:b/>
                <w:bCs/>
                <w:kern w:val="0"/>
                <w:sz w:val="24"/>
                <w:highlight w:val="none"/>
              </w:rPr>
              <w:t>说明</w:t>
            </w:r>
          </w:p>
        </w:tc>
      </w:tr>
      <w:tr>
        <w:tblPrEx>
          <w:tblCellMar>
            <w:top w:w="0" w:type="dxa"/>
            <w:left w:w="108" w:type="dxa"/>
            <w:bottom w:w="0" w:type="dxa"/>
            <w:right w:w="108" w:type="dxa"/>
          </w:tblCellMar>
        </w:tblPrEx>
        <w:trPr>
          <w:trHeight w:val="40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r>
      <w:tr>
        <w:tblPrEx>
          <w:tblCellMar>
            <w:top w:w="0" w:type="dxa"/>
            <w:left w:w="108" w:type="dxa"/>
            <w:bottom w:w="0" w:type="dxa"/>
            <w:right w:w="108" w:type="dxa"/>
          </w:tblCellMar>
        </w:tblPrEx>
        <w:trPr>
          <w:trHeight w:val="40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r>
      <w:tr>
        <w:tblPrEx>
          <w:tblCellMar>
            <w:top w:w="0" w:type="dxa"/>
            <w:left w:w="108" w:type="dxa"/>
            <w:bottom w:w="0" w:type="dxa"/>
            <w:right w:w="108" w:type="dxa"/>
          </w:tblCellMar>
        </w:tblPrEx>
        <w:trPr>
          <w:trHeight w:val="40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r>
      <w:tr>
        <w:tblPrEx>
          <w:tblCellMar>
            <w:top w:w="0" w:type="dxa"/>
            <w:left w:w="108" w:type="dxa"/>
            <w:bottom w:w="0" w:type="dxa"/>
            <w:right w:w="108" w:type="dxa"/>
          </w:tblCellMar>
        </w:tblPrEx>
        <w:trPr>
          <w:trHeight w:val="40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r>
      <w:tr>
        <w:tblPrEx>
          <w:tblCellMar>
            <w:top w:w="0" w:type="dxa"/>
            <w:left w:w="108" w:type="dxa"/>
            <w:bottom w:w="0" w:type="dxa"/>
            <w:right w:w="108" w:type="dxa"/>
          </w:tblCellMar>
        </w:tblPrEx>
        <w:trPr>
          <w:trHeight w:val="40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r>
      <w:tr>
        <w:tblPrEx>
          <w:tblCellMar>
            <w:top w:w="0" w:type="dxa"/>
            <w:left w:w="108" w:type="dxa"/>
            <w:bottom w:w="0" w:type="dxa"/>
            <w:right w:w="108" w:type="dxa"/>
          </w:tblCellMar>
        </w:tblPrEx>
        <w:trPr>
          <w:trHeight w:val="400"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0"/>
                <w:szCs w:val="20"/>
                <w:highlight w:val="none"/>
              </w:rPr>
            </w:pPr>
          </w:p>
        </w:tc>
      </w:tr>
    </w:tbl>
    <w:p>
      <w:pPr>
        <w:pStyle w:val="20"/>
        <w:rPr>
          <w:color w:val="auto"/>
          <w:highlight w:val="none"/>
        </w:rPr>
      </w:pPr>
    </w:p>
    <w:p>
      <w:pPr>
        <w:spacing w:line="560" w:lineRule="exact"/>
        <w:ind w:firstLine="480" w:firstLineChars="200"/>
        <w:rPr>
          <w:rFonts w:ascii="宋体" w:hAnsi="宋体" w:cs="宋体"/>
          <w:b/>
          <w:bCs/>
          <w:sz w:val="24"/>
          <w:highlight w:val="none"/>
        </w:rPr>
      </w:pPr>
      <w:r>
        <w:rPr>
          <w:rFonts w:ascii="宋体" w:hAnsi="宋体" w:cs="宋体"/>
          <w:b/>
          <w:bCs/>
          <w:sz w:val="24"/>
          <w:highlight w:val="none"/>
        </w:rPr>
        <w:t>说明：</w:t>
      </w:r>
      <w:r>
        <w:rPr>
          <w:rFonts w:hint="eastAsia" w:ascii="宋体" w:hAnsi="宋体" w:cs="宋体"/>
          <w:b/>
          <w:bCs/>
          <w:sz w:val="24"/>
          <w:highlight w:val="none"/>
        </w:rPr>
        <w:t>同产品分组内</w:t>
      </w:r>
      <w:r>
        <w:rPr>
          <w:rFonts w:ascii="宋体" w:hAnsi="宋体" w:cs="宋体"/>
          <w:b/>
          <w:bCs/>
          <w:sz w:val="24"/>
          <w:highlight w:val="none"/>
        </w:rPr>
        <w:t>关联关系包括但不限于以下情形：法定代表人、实际控制人为同一人、直接控股关系、管理关系</w:t>
      </w:r>
      <w:r>
        <w:rPr>
          <w:rFonts w:hint="eastAsia" w:ascii="宋体" w:hAnsi="宋体" w:cs="宋体"/>
          <w:b/>
          <w:bCs/>
          <w:sz w:val="24"/>
          <w:highlight w:val="none"/>
          <w:lang w:eastAsia="zh-CN"/>
        </w:rPr>
        <w:t>、</w:t>
      </w:r>
      <w:r>
        <w:rPr>
          <w:rFonts w:hint="eastAsia" w:ascii="宋体" w:hAnsi="宋体" w:cs="宋体"/>
          <w:b/>
          <w:bCs/>
          <w:sz w:val="24"/>
          <w:highlight w:val="yellow"/>
        </w:rPr>
        <w:t>委托生产</w:t>
      </w:r>
      <w:r>
        <w:rPr>
          <w:rFonts w:hint="eastAsia" w:ascii="宋体" w:hAnsi="宋体" w:cs="宋体"/>
          <w:b/>
          <w:bCs/>
          <w:sz w:val="24"/>
          <w:highlight w:val="none"/>
          <w:lang w:val="en-US" w:eastAsia="zh-CN"/>
        </w:rPr>
        <w:t>关系</w:t>
      </w:r>
      <w:r>
        <w:rPr>
          <w:rFonts w:ascii="宋体" w:hAnsi="宋体" w:cs="宋体"/>
          <w:b/>
          <w:bCs/>
          <w:sz w:val="24"/>
          <w:highlight w:val="none"/>
        </w:rPr>
        <w:t>等。</w:t>
      </w: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pStyle w:val="20"/>
        <w:rPr>
          <w:rFonts w:ascii="黑体" w:hAnsi="黑体" w:eastAsia="黑体" w:cs="黑体"/>
          <w:snapToGrid w:val="0"/>
          <w:color w:val="auto"/>
          <w:sz w:val="32"/>
          <w:szCs w:val="32"/>
          <w:highlight w:val="none"/>
        </w:rPr>
      </w:pPr>
    </w:p>
    <w:p>
      <w:pPr>
        <w:pStyle w:val="20"/>
        <w:rPr>
          <w:rFonts w:ascii="黑体" w:hAnsi="黑体" w:eastAsia="黑体" w:cs="黑体"/>
          <w:snapToGrid w:val="0"/>
          <w:color w:val="auto"/>
          <w:sz w:val="32"/>
          <w:szCs w:val="32"/>
          <w:highlight w:val="none"/>
        </w:rPr>
      </w:pPr>
    </w:p>
    <w:p>
      <w:pPr>
        <w:pStyle w:val="20"/>
        <w:rPr>
          <w:rFonts w:ascii="黑体" w:hAnsi="黑体" w:eastAsia="黑体" w:cs="黑体"/>
          <w:snapToGrid w:val="0"/>
          <w:color w:val="auto"/>
          <w:sz w:val="32"/>
          <w:szCs w:val="32"/>
          <w:highlight w:val="none"/>
        </w:rPr>
      </w:pPr>
    </w:p>
    <w:p>
      <w:pPr>
        <w:pStyle w:val="20"/>
        <w:rPr>
          <w:rFonts w:ascii="黑体" w:hAnsi="黑体" w:eastAsia="黑体" w:cs="黑体"/>
          <w:snapToGrid w:val="0"/>
          <w:color w:val="auto"/>
          <w:sz w:val="32"/>
          <w:szCs w:val="32"/>
          <w:highlight w:val="none"/>
        </w:rPr>
      </w:pPr>
    </w:p>
    <w:p>
      <w:pPr>
        <w:adjustRightInd w:val="0"/>
        <w:snapToGrid w:val="0"/>
        <w:spacing w:line="440" w:lineRule="exact"/>
        <w:ind w:right="71"/>
        <w:rPr>
          <w:rFonts w:ascii="黑体" w:hAnsi="黑体" w:eastAsia="黑体" w:cs="黑体"/>
          <w:snapToGrid w:val="0"/>
          <w:kern w:val="0"/>
          <w:sz w:val="32"/>
          <w:szCs w:val="32"/>
          <w:highlight w:val="none"/>
        </w:rPr>
      </w:pPr>
    </w:p>
    <w:p>
      <w:pPr>
        <w:pStyle w:val="20"/>
        <w:rPr>
          <w:highlight w:val="none"/>
        </w:rPr>
      </w:pPr>
    </w:p>
    <w:p>
      <w:pPr>
        <w:rPr>
          <w:rFonts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br w:type="page"/>
      </w:r>
    </w:p>
    <w:p>
      <w:pPr>
        <w:adjustRightInd w:val="0"/>
        <w:snapToGrid w:val="0"/>
        <w:spacing w:line="440" w:lineRule="exact"/>
        <w:ind w:right="71"/>
        <w:rPr>
          <w:rFonts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附件8</w:t>
      </w:r>
    </w:p>
    <w:p>
      <w:pPr>
        <w:spacing w:line="560" w:lineRule="exact"/>
        <w:jc w:val="center"/>
        <w:rPr>
          <w:rFonts w:ascii="宋体" w:hAnsi="宋体" w:cs="宋体"/>
          <w:b/>
          <w:sz w:val="36"/>
          <w:szCs w:val="36"/>
          <w:highlight w:val="none"/>
        </w:rPr>
      </w:pPr>
    </w:p>
    <w:p>
      <w:pPr>
        <w:spacing w:line="560" w:lineRule="exact"/>
        <w:jc w:val="center"/>
        <w:rPr>
          <w:rFonts w:ascii="宋体" w:hAnsi="宋体" w:cs="宋体"/>
          <w:b/>
          <w:sz w:val="36"/>
          <w:szCs w:val="36"/>
          <w:highlight w:val="none"/>
        </w:rPr>
      </w:pPr>
      <w:r>
        <w:rPr>
          <w:rFonts w:hint="eastAsia" w:ascii="宋体" w:hAnsi="宋体" w:cs="宋体"/>
          <w:b/>
          <w:sz w:val="36"/>
          <w:szCs w:val="36"/>
          <w:highlight w:val="none"/>
        </w:rPr>
        <w:t>各分组产品平均成本清单（平台打印）</w:t>
      </w:r>
    </w:p>
    <w:p>
      <w:pPr>
        <w:pStyle w:val="20"/>
        <w:rPr>
          <w:rFonts w:ascii="宋体" w:hAnsi="宋体" w:eastAsia="宋体" w:cs="宋体"/>
          <w:b/>
          <w:bCs/>
          <w:color w:val="auto"/>
          <w:kern w:val="2"/>
          <w:highlight w:val="none"/>
        </w:rPr>
      </w:pPr>
    </w:p>
    <w:p>
      <w:pPr>
        <w:pStyle w:val="20"/>
        <w:ind w:firstLine="480" w:firstLineChars="200"/>
        <w:rPr>
          <w:rFonts w:ascii="宋体" w:hAnsi="宋体" w:eastAsia="宋体" w:cs="宋体"/>
          <w:b/>
          <w:bCs/>
          <w:color w:val="auto"/>
          <w:kern w:val="2"/>
          <w:highlight w:val="none"/>
        </w:rPr>
      </w:pPr>
      <w:r>
        <w:rPr>
          <w:rFonts w:hint="eastAsia" w:ascii="宋体" w:hAnsi="宋体" w:eastAsia="宋体" w:cs="宋体"/>
          <w:b/>
          <w:bCs/>
          <w:color w:val="auto"/>
          <w:kern w:val="2"/>
          <w:highlight w:val="none"/>
        </w:rPr>
        <w:t>注：指出厂环节的完全成本，包括制造成本、期间费用、税费和伴随服务等。需要时另行提交。</w:t>
      </w: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pStyle w:val="20"/>
        <w:rPr>
          <w:rFonts w:ascii="宋体" w:hAnsi="宋体" w:eastAsia="宋体" w:cs="宋体"/>
          <w:b/>
          <w:bCs/>
          <w:color w:val="auto"/>
          <w:kern w:val="2"/>
          <w:highlight w:val="none"/>
        </w:rPr>
      </w:pPr>
    </w:p>
    <w:p>
      <w:pPr>
        <w:rPr>
          <w:rFonts w:ascii="方正黑体_GBK" w:hAnsi="方正黑体_GBK" w:eastAsia="方正黑体_GBK" w:cs="方正黑体_GBK"/>
          <w:sz w:val="32"/>
          <w:szCs w:val="32"/>
          <w:highlight w:val="none"/>
        </w:rPr>
      </w:pPr>
    </w:p>
    <w:p>
      <w:pPr>
        <w:spacing w:line="560" w:lineRule="exact"/>
        <w:jc w:val="left"/>
        <w:rPr>
          <w:rFonts w:ascii="方正黑体_GBK" w:hAnsi="方正黑体_GBK" w:eastAsia="方正黑体_GBK" w:cs="方正黑体_GBK"/>
          <w:sz w:val="32"/>
          <w:szCs w:val="32"/>
          <w:highlight w:val="none"/>
        </w:rPr>
      </w:pPr>
    </w:p>
    <w:sectPr>
      <w:footerReference r:id="rId5" w:type="first"/>
      <w:footerReference r:id="rId4" w:type="default"/>
      <w:pgSz w:w="11906" w:h="16838"/>
      <w:pgMar w:top="2098" w:right="1474" w:bottom="1984" w:left="1587" w:header="851" w:footer="1134" w:gutter="0"/>
      <w:pgNumType w:fmt="decimal"/>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华文新魏">
    <w:altName w:val="方正魏碑_GBK"/>
    <w:panose1 w:val="02010800040101010101"/>
    <w:charset w:val="86"/>
    <w:family w:val="auto"/>
    <w:pitch w:val="default"/>
    <w:sig w:usb0="00000000" w:usb1="00000000" w:usb2="00000000" w:usb3="00000000" w:csb0="00040000" w:csb1="00000000"/>
  </w:font>
  <w:font w:name="方正仿宋简体">
    <w:altName w:val="方正仿宋_GBK"/>
    <w:panose1 w:val="00000000000000000000"/>
    <w:charset w:val="00"/>
    <w:family w:val="script"/>
    <w:pitch w:val="default"/>
    <w:sig w:usb0="00000000" w:usb1="00000000" w:usb2="00000010" w:usb3="00000000" w:csb0="00040000" w:csb1="00000000"/>
  </w:font>
  <w:font w:name="Bookman Old Style">
    <w:altName w:val="DejaVu Serif"/>
    <w:panose1 w:val="02050604050505020204"/>
    <w:charset w:val="00"/>
    <w:family w:val="roman"/>
    <w:pitch w:val="default"/>
    <w:sig w:usb0="00000000" w:usb1="00000000" w:usb2="00000000" w:usb3="00000000" w:csb0="2000009F" w:csb1="DFD7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4"/>
        <w:szCs w:val="24"/>
      </w:rPr>
    </w:pPr>
    <w:r>
      <w:rPr>
        <w:sz w:val="24"/>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8</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7</w:t>
                </w:r>
                <w:r>
                  <w:fldChar w:fldCharType="end"/>
                </w:r>
                <w:r>
                  <w:t xml:space="preserve"> —</w:t>
                </w:r>
              </w:p>
            </w:txbxContent>
          </v:textbox>
        </v:shape>
      </w:pict>
    </w: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path/>
          <v:fill on="f" focussize="0,0"/>
          <v:stroke on="f" weight="0.5pt" joinstyle="miter"/>
          <v:imagedata o:title=""/>
          <o:lock v:ext="edit"/>
          <v:textbox inset="0mm,0mm,0mm,0mm" style="mso-fit-shape-to-text:t;">
            <w:txbxContent>
              <w:p>
                <w:pPr>
                  <w:pStyle w:val="9"/>
                </w:pPr>
              </w:p>
            </w:txbxContent>
          </v:textbox>
        </v:shape>
      </w:pict>
    </w: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path/>
          <v:fill on="f" focussize="0,0"/>
          <v:stroke on="f" weight="0.5pt" joinstyle="miter"/>
          <v:imagedata o:title=""/>
          <o:lock v:ext="edit"/>
          <v:textbox inset="0mm,0mm,0mm,0mm" style="mso-fit-shape-to-text:t;">
            <w:txbxContent>
              <w:p>
                <w:pPr>
                  <w:pStyle w:val="9"/>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D206A"/>
    <w:multiLevelType w:val="singleLevel"/>
    <w:tmpl w:val="F1FD206A"/>
    <w:lvl w:ilvl="0" w:tentative="0">
      <w:start w:val="1"/>
      <w:numFmt w:val="chineseCounting"/>
      <w:suff w:val="nothing"/>
      <w:lvlText w:val="%1、"/>
      <w:lvlJc w:val="left"/>
      <w:rPr>
        <w:rFonts w:hint="eastAsia"/>
      </w:rPr>
    </w:lvl>
  </w:abstractNum>
  <w:abstractNum w:abstractNumId="1">
    <w:nsid w:val="6083AD9A"/>
    <w:multiLevelType w:val="singleLevel"/>
    <w:tmpl w:val="6083AD9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000356CB"/>
    <w:rsid w:val="000027E7"/>
    <w:rsid w:val="00002B6B"/>
    <w:rsid w:val="00005CF8"/>
    <w:rsid w:val="000062A0"/>
    <w:rsid w:val="00007902"/>
    <w:rsid w:val="000101E9"/>
    <w:rsid w:val="00014A4D"/>
    <w:rsid w:val="00015009"/>
    <w:rsid w:val="00015BE6"/>
    <w:rsid w:val="000165F3"/>
    <w:rsid w:val="000229C0"/>
    <w:rsid w:val="00022B71"/>
    <w:rsid w:val="00030E83"/>
    <w:rsid w:val="000317B8"/>
    <w:rsid w:val="000335F4"/>
    <w:rsid w:val="00034418"/>
    <w:rsid w:val="00034A81"/>
    <w:rsid w:val="00034F8F"/>
    <w:rsid w:val="000356CB"/>
    <w:rsid w:val="0004039C"/>
    <w:rsid w:val="00042206"/>
    <w:rsid w:val="00043F45"/>
    <w:rsid w:val="000458F7"/>
    <w:rsid w:val="0005385A"/>
    <w:rsid w:val="00062AC7"/>
    <w:rsid w:val="00062BC1"/>
    <w:rsid w:val="0006485E"/>
    <w:rsid w:val="00064AEC"/>
    <w:rsid w:val="00067E82"/>
    <w:rsid w:val="0007079D"/>
    <w:rsid w:val="00070E42"/>
    <w:rsid w:val="0007131B"/>
    <w:rsid w:val="000741EF"/>
    <w:rsid w:val="000742D8"/>
    <w:rsid w:val="0007447B"/>
    <w:rsid w:val="00074729"/>
    <w:rsid w:val="00076B4F"/>
    <w:rsid w:val="00076C9C"/>
    <w:rsid w:val="00077F5E"/>
    <w:rsid w:val="00080025"/>
    <w:rsid w:val="0008191B"/>
    <w:rsid w:val="00082CD7"/>
    <w:rsid w:val="000842CE"/>
    <w:rsid w:val="00084881"/>
    <w:rsid w:val="00085764"/>
    <w:rsid w:val="00085874"/>
    <w:rsid w:val="0008683F"/>
    <w:rsid w:val="00090682"/>
    <w:rsid w:val="00090F59"/>
    <w:rsid w:val="0009187A"/>
    <w:rsid w:val="00094580"/>
    <w:rsid w:val="00095226"/>
    <w:rsid w:val="00095FBC"/>
    <w:rsid w:val="000A1AB0"/>
    <w:rsid w:val="000A3BCF"/>
    <w:rsid w:val="000A5234"/>
    <w:rsid w:val="000A565F"/>
    <w:rsid w:val="000B0385"/>
    <w:rsid w:val="000B4EDE"/>
    <w:rsid w:val="000B5DEF"/>
    <w:rsid w:val="000B62D8"/>
    <w:rsid w:val="000B7653"/>
    <w:rsid w:val="000C5345"/>
    <w:rsid w:val="000C6239"/>
    <w:rsid w:val="000C6982"/>
    <w:rsid w:val="000C723A"/>
    <w:rsid w:val="000D02DE"/>
    <w:rsid w:val="000D09E5"/>
    <w:rsid w:val="000D4064"/>
    <w:rsid w:val="000D5D40"/>
    <w:rsid w:val="000E1F46"/>
    <w:rsid w:val="000E3220"/>
    <w:rsid w:val="000E458A"/>
    <w:rsid w:val="000F0BA5"/>
    <w:rsid w:val="000F592F"/>
    <w:rsid w:val="000F5D66"/>
    <w:rsid w:val="000F6D16"/>
    <w:rsid w:val="000F7559"/>
    <w:rsid w:val="000F7F26"/>
    <w:rsid w:val="001004C1"/>
    <w:rsid w:val="00106077"/>
    <w:rsid w:val="001063EE"/>
    <w:rsid w:val="00107063"/>
    <w:rsid w:val="0011161E"/>
    <w:rsid w:val="00116505"/>
    <w:rsid w:val="00120C39"/>
    <w:rsid w:val="001222B6"/>
    <w:rsid w:val="00131884"/>
    <w:rsid w:val="00131A82"/>
    <w:rsid w:val="00132D34"/>
    <w:rsid w:val="00133000"/>
    <w:rsid w:val="001364FC"/>
    <w:rsid w:val="001366AC"/>
    <w:rsid w:val="001401D2"/>
    <w:rsid w:val="00146561"/>
    <w:rsid w:val="0015623B"/>
    <w:rsid w:val="001565B5"/>
    <w:rsid w:val="0015682B"/>
    <w:rsid w:val="00156B44"/>
    <w:rsid w:val="00161722"/>
    <w:rsid w:val="00166F6F"/>
    <w:rsid w:val="0017169D"/>
    <w:rsid w:val="00171771"/>
    <w:rsid w:val="00172AB8"/>
    <w:rsid w:val="00174A9C"/>
    <w:rsid w:val="0017518D"/>
    <w:rsid w:val="0017693A"/>
    <w:rsid w:val="00177E87"/>
    <w:rsid w:val="00180119"/>
    <w:rsid w:val="001808E8"/>
    <w:rsid w:val="00181767"/>
    <w:rsid w:val="001835BA"/>
    <w:rsid w:val="001842CA"/>
    <w:rsid w:val="00185071"/>
    <w:rsid w:val="00185A55"/>
    <w:rsid w:val="00186259"/>
    <w:rsid w:val="00187CAD"/>
    <w:rsid w:val="001926F1"/>
    <w:rsid w:val="00192E63"/>
    <w:rsid w:val="00194F43"/>
    <w:rsid w:val="00195476"/>
    <w:rsid w:val="001A02D2"/>
    <w:rsid w:val="001A466A"/>
    <w:rsid w:val="001A5A79"/>
    <w:rsid w:val="001A6733"/>
    <w:rsid w:val="001A698B"/>
    <w:rsid w:val="001A698E"/>
    <w:rsid w:val="001A730F"/>
    <w:rsid w:val="001B0606"/>
    <w:rsid w:val="001B20A3"/>
    <w:rsid w:val="001B2CC1"/>
    <w:rsid w:val="001B612D"/>
    <w:rsid w:val="001B6943"/>
    <w:rsid w:val="001B6CD0"/>
    <w:rsid w:val="001B7366"/>
    <w:rsid w:val="001C1266"/>
    <w:rsid w:val="001C2A78"/>
    <w:rsid w:val="001C487D"/>
    <w:rsid w:val="001C52FC"/>
    <w:rsid w:val="001C7C0A"/>
    <w:rsid w:val="001D1210"/>
    <w:rsid w:val="001D131E"/>
    <w:rsid w:val="001D24D9"/>
    <w:rsid w:val="001D5795"/>
    <w:rsid w:val="001D5994"/>
    <w:rsid w:val="001E4B64"/>
    <w:rsid w:val="001E66F0"/>
    <w:rsid w:val="001E7C0C"/>
    <w:rsid w:val="001F2001"/>
    <w:rsid w:val="001F2E57"/>
    <w:rsid w:val="001F3BA1"/>
    <w:rsid w:val="001F48FF"/>
    <w:rsid w:val="001F5349"/>
    <w:rsid w:val="00200007"/>
    <w:rsid w:val="00201EA3"/>
    <w:rsid w:val="0020241E"/>
    <w:rsid w:val="00206406"/>
    <w:rsid w:val="00206C03"/>
    <w:rsid w:val="00207213"/>
    <w:rsid w:val="002076B0"/>
    <w:rsid w:val="002104DA"/>
    <w:rsid w:val="00211285"/>
    <w:rsid w:val="0021150F"/>
    <w:rsid w:val="00211645"/>
    <w:rsid w:val="002129D1"/>
    <w:rsid w:val="0021684F"/>
    <w:rsid w:val="002213BD"/>
    <w:rsid w:val="00221794"/>
    <w:rsid w:val="00223203"/>
    <w:rsid w:val="0022332B"/>
    <w:rsid w:val="00223849"/>
    <w:rsid w:val="00225916"/>
    <w:rsid w:val="00225A03"/>
    <w:rsid w:val="00226686"/>
    <w:rsid w:val="002274D2"/>
    <w:rsid w:val="00227FE1"/>
    <w:rsid w:val="002319DE"/>
    <w:rsid w:val="00234A09"/>
    <w:rsid w:val="00240257"/>
    <w:rsid w:val="00241400"/>
    <w:rsid w:val="002422AA"/>
    <w:rsid w:val="002437AB"/>
    <w:rsid w:val="0024496F"/>
    <w:rsid w:val="00245A17"/>
    <w:rsid w:val="0024794D"/>
    <w:rsid w:val="002501AC"/>
    <w:rsid w:val="00250344"/>
    <w:rsid w:val="00251C56"/>
    <w:rsid w:val="00253349"/>
    <w:rsid w:val="00253B0E"/>
    <w:rsid w:val="00254906"/>
    <w:rsid w:val="002669FF"/>
    <w:rsid w:val="002673DA"/>
    <w:rsid w:val="00267DF5"/>
    <w:rsid w:val="00271483"/>
    <w:rsid w:val="0027209D"/>
    <w:rsid w:val="0028127F"/>
    <w:rsid w:val="00281FAC"/>
    <w:rsid w:val="002835E4"/>
    <w:rsid w:val="002865ED"/>
    <w:rsid w:val="002902D4"/>
    <w:rsid w:val="00290F90"/>
    <w:rsid w:val="002955B5"/>
    <w:rsid w:val="002A02E0"/>
    <w:rsid w:val="002A07A3"/>
    <w:rsid w:val="002A559F"/>
    <w:rsid w:val="002A7234"/>
    <w:rsid w:val="002B02D5"/>
    <w:rsid w:val="002B1289"/>
    <w:rsid w:val="002B3A6E"/>
    <w:rsid w:val="002B5891"/>
    <w:rsid w:val="002C06D1"/>
    <w:rsid w:val="002C237B"/>
    <w:rsid w:val="002C2491"/>
    <w:rsid w:val="002C284E"/>
    <w:rsid w:val="002C4546"/>
    <w:rsid w:val="002C47E8"/>
    <w:rsid w:val="002C4990"/>
    <w:rsid w:val="002D12AC"/>
    <w:rsid w:val="002D27E2"/>
    <w:rsid w:val="002D3AB7"/>
    <w:rsid w:val="002D4693"/>
    <w:rsid w:val="002D7CB6"/>
    <w:rsid w:val="002E016D"/>
    <w:rsid w:val="002E07B4"/>
    <w:rsid w:val="002E132A"/>
    <w:rsid w:val="002E2080"/>
    <w:rsid w:val="002E2491"/>
    <w:rsid w:val="002E39C0"/>
    <w:rsid w:val="002E3C53"/>
    <w:rsid w:val="002E4C88"/>
    <w:rsid w:val="002E6B99"/>
    <w:rsid w:val="002F1937"/>
    <w:rsid w:val="002F1BF5"/>
    <w:rsid w:val="002F241E"/>
    <w:rsid w:val="002F38D0"/>
    <w:rsid w:val="002F431D"/>
    <w:rsid w:val="002F6293"/>
    <w:rsid w:val="003038E4"/>
    <w:rsid w:val="00305C0D"/>
    <w:rsid w:val="00310371"/>
    <w:rsid w:val="00311A3A"/>
    <w:rsid w:val="00313B0A"/>
    <w:rsid w:val="00314699"/>
    <w:rsid w:val="00315248"/>
    <w:rsid w:val="00323D18"/>
    <w:rsid w:val="0032429D"/>
    <w:rsid w:val="00324EA8"/>
    <w:rsid w:val="003258D5"/>
    <w:rsid w:val="00326B25"/>
    <w:rsid w:val="0033770C"/>
    <w:rsid w:val="00337724"/>
    <w:rsid w:val="003415E1"/>
    <w:rsid w:val="003432F7"/>
    <w:rsid w:val="00346C50"/>
    <w:rsid w:val="003474D6"/>
    <w:rsid w:val="00354A06"/>
    <w:rsid w:val="00366146"/>
    <w:rsid w:val="003668C2"/>
    <w:rsid w:val="00366B7B"/>
    <w:rsid w:val="00367766"/>
    <w:rsid w:val="00372FE2"/>
    <w:rsid w:val="00375AD4"/>
    <w:rsid w:val="00376C66"/>
    <w:rsid w:val="00377980"/>
    <w:rsid w:val="00380525"/>
    <w:rsid w:val="0038095C"/>
    <w:rsid w:val="00384959"/>
    <w:rsid w:val="003865D4"/>
    <w:rsid w:val="0039519D"/>
    <w:rsid w:val="00396A84"/>
    <w:rsid w:val="003975D3"/>
    <w:rsid w:val="003A6499"/>
    <w:rsid w:val="003B0839"/>
    <w:rsid w:val="003B13DA"/>
    <w:rsid w:val="003B2DB6"/>
    <w:rsid w:val="003B6173"/>
    <w:rsid w:val="003B6A68"/>
    <w:rsid w:val="003B6A78"/>
    <w:rsid w:val="003C138A"/>
    <w:rsid w:val="003C13DC"/>
    <w:rsid w:val="003C5133"/>
    <w:rsid w:val="003C5FFD"/>
    <w:rsid w:val="003C6B61"/>
    <w:rsid w:val="003C6EAF"/>
    <w:rsid w:val="003C7375"/>
    <w:rsid w:val="003D10E8"/>
    <w:rsid w:val="003D293E"/>
    <w:rsid w:val="003D3557"/>
    <w:rsid w:val="003D42B7"/>
    <w:rsid w:val="003E047D"/>
    <w:rsid w:val="003E5BD3"/>
    <w:rsid w:val="003F00EE"/>
    <w:rsid w:val="003F13AC"/>
    <w:rsid w:val="003F1F77"/>
    <w:rsid w:val="003F3F4A"/>
    <w:rsid w:val="003F45CE"/>
    <w:rsid w:val="003F4641"/>
    <w:rsid w:val="003F4701"/>
    <w:rsid w:val="003F6D97"/>
    <w:rsid w:val="003F7FD9"/>
    <w:rsid w:val="0040000F"/>
    <w:rsid w:val="00400DE7"/>
    <w:rsid w:val="00405DF6"/>
    <w:rsid w:val="00406AFE"/>
    <w:rsid w:val="00407FC7"/>
    <w:rsid w:val="00411F7C"/>
    <w:rsid w:val="004155B8"/>
    <w:rsid w:val="00417BBC"/>
    <w:rsid w:val="00417FC5"/>
    <w:rsid w:val="00422A9E"/>
    <w:rsid w:val="00422D7F"/>
    <w:rsid w:val="0042465D"/>
    <w:rsid w:val="00427470"/>
    <w:rsid w:val="0043041F"/>
    <w:rsid w:val="00430600"/>
    <w:rsid w:val="00430BED"/>
    <w:rsid w:val="00430FD2"/>
    <w:rsid w:val="00433820"/>
    <w:rsid w:val="00434FD4"/>
    <w:rsid w:val="0043760E"/>
    <w:rsid w:val="0044169A"/>
    <w:rsid w:val="00441B38"/>
    <w:rsid w:val="004436A3"/>
    <w:rsid w:val="00444C44"/>
    <w:rsid w:val="0044607F"/>
    <w:rsid w:val="00447634"/>
    <w:rsid w:val="004521B5"/>
    <w:rsid w:val="00455DAF"/>
    <w:rsid w:val="00456447"/>
    <w:rsid w:val="00461492"/>
    <w:rsid w:val="0046172F"/>
    <w:rsid w:val="00462ACD"/>
    <w:rsid w:val="00465FEB"/>
    <w:rsid w:val="00470704"/>
    <w:rsid w:val="00470FD1"/>
    <w:rsid w:val="00474260"/>
    <w:rsid w:val="00480247"/>
    <w:rsid w:val="00480899"/>
    <w:rsid w:val="004840B2"/>
    <w:rsid w:val="004842C1"/>
    <w:rsid w:val="00486344"/>
    <w:rsid w:val="0049136E"/>
    <w:rsid w:val="00492A69"/>
    <w:rsid w:val="0049325B"/>
    <w:rsid w:val="004936D5"/>
    <w:rsid w:val="00496D2C"/>
    <w:rsid w:val="00497960"/>
    <w:rsid w:val="004A3F0E"/>
    <w:rsid w:val="004A79FB"/>
    <w:rsid w:val="004B1310"/>
    <w:rsid w:val="004B30D5"/>
    <w:rsid w:val="004B5F38"/>
    <w:rsid w:val="004B6A43"/>
    <w:rsid w:val="004C37FC"/>
    <w:rsid w:val="004C43BD"/>
    <w:rsid w:val="004C4693"/>
    <w:rsid w:val="004D08D9"/>
    <w:rsid w:val="004D0B57"/>
    <w:rsid w:val="004D1D34"/>
    <w:rsid w:val="004D553D"/>
    <w:rsid w:val="004D699F"/>
    <w:rsid w:val="004D7A2B"/>
    <w:rsid w:val="004E07C5"/>
    <w:rsid w:val="004E22E6"/>
    <w:rsid w:val="004E2739"/>
    <w:rsid w:val="004E3389"/>
    <w:rsid w:val="004E4B82"/>
    <w:rsid w:val="004E4C69"/>
    <w:rsid w:val="004E5B13"/>
    <w:rsid w:val="004F0258"/>
    <w:rsid w:val="004F2024"/>
    <w:rsid w:val="004F20FA"/>
    <w:rsid w:val="004F65F1"/>
    <w:rsid w:val="004F66D0"/>
    <w:rsid w:val="0050012C"/>
    <w:rsid w:val="00501719"/>
    <w:rsid w:val="005042FC"/>
    <w:rsid w:val="00505C09"/>
    <w:rsid w:val="005114D2"/>
    <w:rsid w:val="00513CD6"/>
    <w:rsid w:val="005162E5"/>
    <w:rsid w:val="005168D1"/>
    <w:rsid w:val="00525132"/>
    <w:rsid w:val="00527FEE"/>
    <w:rsid w:val="00533182"/>
    <w:rsid w:val="005353A8"/>
    <w:rsid w:val="00537896"/>
    <w:rsid w:val="00541C03"/>
    <w:rsid w:val="0054291F"/>
    <w:rsid w:val="005439FC"/>
    <w:rsid w:val="00550714"/>
    <w:rsid w:val="00553F2F"/>
    <w:rsid w:val="00555134"/>
    <w:rsid w:val="00555AB2"/>
    <w:rsid w:val="00563972"/>
    <w:rsid w:val="00566D62"/>
    <w:rsid w:val="0056735C"/>
    <w:rsid w:val="00570864"/>
    <w:rsid w:val="00570DBC"/>
    <w:rsid w:val="00576017"/>
    <w:rsid w:val="005779AE"/>
    <w:rsid w:val="0058103A"/>
    <w:rsid w:val="0058239D"/>
    <w:rsid w:val="00582B77"/>
    <w:rsid w:val="00583088"/>
    <w:rsid w:val="00583CD8"/>
    <w:rsid w:val="00587938"/>
    <w:rsid w:val="00593373"/>
    <w:rsid w:val="00594137"/>
    <w:rsid w:val="005947CF"/>
    <w:rsid w:val="00595DB7"/>
    <w:rsid w:val="00596C4D"/>
    <w:rsid w:val="005A02FA"/>
    <w:rsid w:val="005A0460"/>
    <w:rsid w:val="005A1CF9"/>
    <w:rsid w:val="005A3086"/>
    <w:rsid w:val="005B30C7"/>
    <w:rsid w:val="005B4BC4"/>
    <w:rsid w:val="005B756D"/>
    <w:rsid w:val="005B7A5B"/>
    <w:rsid w:val="005C0DC0"/>
    <w:rsid w:val="005C19CC"/>
    <w:rsid w:val="005C378C"/>
    <w:rsid w:val="005C4FE9"/>
    <w:rsid w:val="005C5739"/>
    <w:rsid w:val="005D1CDF"/>
    <w:rsid w:val="005D23AF"/>
    <w:rsid w:val="005D2EEB"/>
    <w:rsid w:val="005D57E5"/>
    <w:rsid w:val="005D5E13"/>
    <w:rsid w:val="005E1196"/>
    <w:rsid w:val="005E1F7B"/>
    <w:rsid w:val="005E1FDC"/>
    <w:rsid w:val="005E3634"/>
    <w:rsid w:val="005E3E19"/>
    <w:rsid w:val="005E7731"/>
    <w:rsid w:val="005F1082"/>
    <w:rsid w:val="005F16F5"/>
    <w:rsid w:val="005F5EAC"/>
    <w:rsid w:val="00600F9B"/>
    <w:rsid w:val="00601495"/>
    <w:rsid w:val="00602900"/>
    <w:rsid w:val="00602C33"/>
    <w:rsid w:val="00602D2D"/>
    <w:rsid w:val="00603FA6"/>
    <w:rsid w:val="00604FE0"/>
    <w:rsid w:val="00607EFD"/>
    <w:rsid w:val="00607FE6"/>
    <w:rsid w:val="006102B0"/>
    <w:rsid w:val="0061247D"/>
    <w:rsid w:val="00612597"/>
    <w:rsid w:val="00614FD6"/>
    <w:rsid w:val="00626537"/>
    <w:rsid w:val="00627B1B"/>
    <w:rsid w:val="006307E7"/>
    <w:rsid w:val="006313B8"/>
    <w:rsid w:val="00632621"/>
    <w:rsid w:val="00636ACB"/>
    <w:rsid w:val="00646456"/>
    <w:rsid w:val="00655751"/>
    <w:rsid w:val="0065598A"/>
    <w:rsid w:val="00656793"/>
    <w:rsid w:val="00656C7B"/>
    <w:rsid w:val="006603BF"/>
    <w:rsid w:val="006608A9"/>
    <w:rsid w:val="00662298"/>
    <w:rsid w:val="006632A3"/>
    <w:rsid w:val="00667E89"/>
    <w:rsid w:val="00671C39"/>
    <w:rsid w:val="00672479"/>
    <w:rsid w:val="00672B36"/>
    <w:rsid w:val="00672BBA"/>
    <w:rsid w:val="006731BE"/>
    <w:rsid w:val="00673410"/>
    <w:rsid w:val="00675015"/>
    <w:rsid w:val="00675672"/>
    <w:rsid w:val="00675960"/>
    <w:rsid w:val="006763FB"/>
    <w:rsid w:val="00680C78"/>
    <w:rsid w:val="00685E76"/>
    <w:rsid w:val="0068651E"/>
    <w:rsid w:val="0069296C"/>
    <w:rsid w:val="00692B10"/>
    <w:rsid w:val="00692CCB"/>
    <w:rsid w:val="006979E0"/>
    <w:rsid w:val="006A0493"/>
    <w:rsid w:val="006A11E6"/>
    <w:rsid w:val="006A3638"/>
    <w:rsid w:val="006A37E7"/>
    <w:rsid w:val="006A51F9"/>
    <w:rsid w:val="006A686A"/>
    <w:rsid w:val="006A6962"/>
    <w:rsid w:val="006B0A44"/>
    <w:rsid w:val="006B1C16"/>
    <w:rsid w:val="006B1D7E"/>
    <w:rsid w:val="006B314E"/>
    <w:rsid w:val="006B3B4F"/>
    <w:rsid w:val="006B5938"/>
    <w:rsid w:val="006B5FC6"/>
    <w:rsid w:val="006B6504"/>
    <w:rsid w:val="006B70A7"/>
    <w:rsid w:val="006C0831"/>
    <w:rsid w:val="006C0DC6"/>
    <w:rsid w:val="006C4208"/>
    <w:rsid w:val="006D1B19"/>
    <w:rsid w:val="006D1B1E"/>
    <w:rsid w:val="006D35D8"/>
    <w:rsid w:val="006E29DD"/>
    <w:rsid w:val="006E3052"/>
    <w:rsid w:val="006E32C8"/>
    <w:rsid w:val="006E5226"/>
    <w:rsid w:val="006E7BB1"/>
    <w:rsid w:val="006F3152"/>
    <w:rsid w:val="006F702F"/>
    <w:rsid w:val="007005A4"/>
    <w:rsid w:val="007024AA"/>
    <w:rsid w:val="00702C04"/>
    <w:rsid w:val="00702F0E"/>
    <w:rsid w:val="00703833"/>
    <w:rsid w:val="00704C6E"/>
    <w:rsid w:val="007059E3"/>
    <w:rsid w:val="00705C6C"/>
    <w:rsid w:val="00712C09"/>
    <w:rsid w:val="00714671"/>
    <w:rsid w:val="0071489E"/>
    <w:rsid w:val="00714CAE"/>
    <w:rsid w:val="007167C0"/>
    <w:rsid w:val="007173E1"/>
    <w:rsid w:val="0072002E"/>
    <w:rsid w:val="00720032"/>
    <w:rsid w:val="00721D6D"/>
    <w:rsid w:val="007263B5"/>
    <w:rsid w:val="0072682A"/>
    <w:rsid w:val="00732288"/>
    <w:rsid w:val="0073266D"/>
    <w:rsid w:val="00732E85"/>
    <w:rsid w:val="00733593"/>
    <w:rsid w:val="00734455"/>
    <w:rsid w:val="00735E8F"/>
    <w:rsid w:val="00743401"/>
    <w:rsid w:val="00744A06"/>
    <w:rsid w:val="00760099"/>
    <w:rsid w:val="00760EBF"/>
    <w:rsid w:val="00763190"/>
    <w:rsid w:val="0076797A"/>
    <w:rsid w:val="007745B7"/>
    <w:rsid w:val="007746AF"/>
    <w:rsid w:val="0077655F"/>
    <w:rsid w:val="00780738"/>
    <w:rsid w:val="00783E4C"/>
    <w:rsid w:val="00783F5D"/>
    <w:rsid w:val="00784FB6"/>
    <w:rsid w:val="00785162"/>
    <w:rsid w:val="0078775B"/>
    <w:rsid w:val="007908DA"/>
    <w:rsid w:val="00791054"/>
    <w:rsid w:val="007911E7"/>
    <w:rsid w:val="00791F8E"/>
    <w:rsid w:val="007975FE"/>
    <w:rsid w:val="007A073E"/>
    <w:rsid w:val="007A0F8F"/>
    <w:rsid w:val="007A29CE"/>
    <w:rsid w:val="007A3288"/>
    <w:rsid w:val="007A3BB4"/>
    <w:rsid w:val="007A4CCD"/>
    <w:rsid w:val="007A5898"/>
    <w:rsid w:val="007A6B54"/>
    <w:rsid w:val="007A7B5B"/>
    <w:rsid w:val="007B1DAF"/>
    <w:rsid w:val="007B204A"/>
    <w:rsid w:val="007B2F2F"/>
    <w:rsid w:val="007B7D9C"/>
    <w:rsid w:val="007C015B"/>
    <w:rsid w:val="007C09F8"/>
    <w:rsid w:val="007C425D"/>
    <w:rsid w:val="007C4F59"/>
    <w:rsid w:val="007C70F7"/>
    <w:rsid w:val="007D09D7"/>
    <w:rsid w:val="007D182B"/>
    <w:rsid w:val="007D6785"/>
    <w:rsid w:val="007E12EA"/>
    <w:rsid w:val="007E132E"/>
    <w:rsid w:val="007E4EF7"/>
    <w:rsid w:val="007E5BF2"/>
    <w:rsid w:val="007E6B36"/>
    <w:rsid w:val="007F2B9F"/>
    <w:rsid w:val="007F477C"/>
    <w:rsid w:val="007F5A20"/>
    <w:rsid w:val="007F5BCB"/>
    <w:rsid w:val="007F67F4"/>
    <w:rsid w:val="00800504"/>
    <w:rsid w:val="00800B52"/>
    <w:rsid w:val="00801BF6"/>
    <w:rsid w:val="00802845"/>
    <w:rsid w:val="00805DBE"/>
    <w:rsid w:val="0081240A"/>
    <w:rsid w:val="00813951"/>
    <w:rsid w:val="0081487B"/>
    <w:rsid w:val="00815D7A"/>
    <w:rsid w:val="008166C4"/>
    <w:rsid w:val="0082162B"/>
    <w:rsid w:val="00824473"/>
    <w:rsid w:val="008249E8"/>
    <w:rsid w:val="00824A6C"/>
    <w:rsid w:val="008264CA"/>
    <w:rsid w:val="00826B01"/>
    <w:rsid w:val="0082771F"/>
    <w:rsid w:val="00831062"/>
    <w:rsid w:val="00831B14"/>
    <w:rsid w:val="00832B3C"/>
    <w:rsid w:val="008330E9"/>
    <w:rsid w:val="008353EB"/>
    <w:rsid w:val="00835D94"/>
    <w:rsid w:val="00835F01"/>
    <w:rsid w:val="0084087A"/>
    <w:rsid w:val="008418D1"/>
    <w:rsid w:val="00841FAF"/>
    <w:rsid w:val="00842C08"/>
    <w:rsid w:val="0084497F"/>
    <w:rsid w:val="00844AB3"/>
    <w:rsid w:val="00844E1C"/>
    <w:rsid w:val="00844EED"/>
    <w:rsid w:val="008461FB"/>
    <w:rsid w:val="0085651F"/>
    <w:rsid w:val="00856704"/>
    <w:rsid w:val="00861E79"/>
    <w:rsid w:val="00862236"/>
    <w:rsid w:val="00863D92"/>
    <w:rsid w:val="00864A19"/>
    <w:rsid w:val="00865113"/>
    <w:rsid w:val="0086676C"/>
    <w:rsid w:val="0087124F"/>
    <w:rsid w:val="00883F8F"/>
    <w:rsid w:val="0088665E"/>
    <w:rsid w:val="00886A9E"/>
    <w:rsid w:val="00886EE7"/>
    <w:rsid w:val="0089053D"/>
    <w:rsid w:val="00890C21"/>
    <w:rsid w:val="00891221"/>
    <w:rsid w:val="00892308"/>
    <w:rsid w:val="00893FC4"/>
    <w:rsid w:val="008943AF"/>
    <w:rsid w:val="00894522"/>
    <w:rsid w:val="00894552"/>
    <w:rsid w:val="00896E8C"/>
    <w:rsid w:val="0089745D"/>
    <w:rsid w:val="008A1372"/>
    <w:rsid w:val="008A285E"/>
    <w:rsid w:val="008A3563"/>
    <w:rsid w:val="008A5367"/>
    <w:rsid w:val="008A5E9F"/>
    <w:rsid w:val="008A61C6"/>
    <w:rsid w:val="008A6EBB"/>
    <w:rsid w:val="008B344F"/>
    <w:rsid w:val="008B528E"/>
    <w:rsid w:val="008B5966"/>
    <w:rsid w:val="008B608D"/>
    <w:rsid w:val="008B646E"/>
    <w:rsid w:val="008B72EE"/>
    <w:rsid w:val="008C0BAC"/>
    <w:rsid w:val="008C15A1"/>
    <w:rsid w:val="008C233D"/>
    <w:rsid w:val="008C2F28"/>
    <w:rsid w:val="008C5878"/>
    <w:rsid w:val="008C6C5E"/>
    <w:rsid w:val="008D2F4B"/>
    <w:rsid w:val="008D3FB2"/>
    <w:rsid w:val="008E1767"/>
    <w:rsid w:val="008E4EA7"/>
    <w:rsid w:val="008E58C9"/>
    <w:rsid w:val="008F0BFA"/>
    <w:rsid w:val="008F2311"/>
    <w:rsid w:val="008F4A0A"/>
    <w:rsid w:val="008F64C0"/>
    <w:rsid w:val="009000F3"/>
    <w:rsid w:val="00900B0C"/>
    <w:rsid w:val="009010CF"/>
    <w:rsid w:val="00903189"/>
    <w:rsid w:val="00903A7A"/>
    <w:rsid w:val="00903FE4"/>
    <w:rsid w:val="009052A3"/>
    <w:rsid w:val="0090722C"/>
    <w:rsid w:val="009125F1"/>
    <w:rsid w:val="00915E87"/>
    <w:rsid w:val="009161D3"/>
    <w:rsid w:val="00920028"/>
    <w:rsid w:val="00921551"/>
    <w:rsid w:val="0092210F"/>
    <w:rsid w:val="00922CFD"/>
    <w:rsid w:val="00924246"/>
    <w:rsid w:val="0092450A"/>
    <w:rsid w:val="009246C5"/>
    <w:rsid w:val="00924D02"/>
    <w:rsid w:val="00926217"/>
    <w:rsid w:val="0092637B"/>
    <w:rsid w:val="00926DC3"/>
    <w:rsid w:val="009271D2"/>
    <w:rsid w:val="009306AE"/>
    <w:rsid w:val="009308AC"/>
    <w:rsid w:val="00930C97"/>
    <w:rsid w:val="00930CA6"/>
    <w:rsid w:val="0093169D"/>
    <w:rsid w:val="00932097"/>
    <w:rsid w:val="009321EF"/>
    <w:rsid w:val="00932ED7"/>
    <w:rsid w:val="00933552"/>
    <w:rsid w:val="009411A4"/>
    <w:rsid w:val="009414C0"/>
    <w:rsid w:val="00942594"/>
    <w:rsid w:val="00946D76"/>
    <w:rsid w:val="00947050"/>
    <w:rsid w:val="00947349"/>
    <w:rsid w:val="00947C57"/>
    <w:rsid w:val="00953BC1"/>
    <w:rsid w:val="00953EA1"/>
    <w:rsid w:val="0095793E"/>
    <w:rsid w:val="0096153D"/>
    <w:rsid w:val="00961BBF"/>
    <w:rsid w:val="00963C9E"/>
    <w:rsid w:val="00965B11"/>
    <w:rsid w:val="009677CF"/>
    <w:rsid w:val="00970852"/>
    <w:rsid w:val="00972547"/>
    <w:rsid w:val="00973EDD"/>
    <w:rsid w:val="00974827"/>
    <w:rsid w:val="00975B52"/>
    <w:rsid w:val="0098269B"/>
    <w:rsid w:val="00985EF0"/>
    <w:rsid w:val="00986040"/>
    <w:rsid w:val="009865B7"/>
    <w:rsid w:val="00986EA4"/>
    <w:rsid w:val="00987695"/>
    <w:rsid w:val="00987D40"/>
    <w:rsid w:val="00991791"/>
    <w:rsid w:val="00991DC2"/>
    <w:rsid w:val="009959D0"/>
    <w:rsid w:val="009A1767"/>
    <w:rsid w:val="009A3898"/>
    <w:rsid w:val="009A4CFE"/>
    <w:rsid w:val="009A681C"/>
    <w:rsid w:val="009A70AA"/>
    <w:rsid w:val="009A72C6"/>
    <w:rsid w:val="009B121F"/>
    <w:rsid w:val="009B2379"/>
    <w:rsid w:val="009B75AD"/>
    <w:rsid w:val="009C4AD6"/>
    <w:rsid w:val="009C7469"/>
    <w:rsid w:val="009D034A"/>
    <w:rsid w:val="009D0F9E"/>
    <w:rsid w:val="009D3AC2"/>
    <w:rsid w:val="009D4691"/>
    <w:rsid w:val="009D4E79"/>
    <w:rsid w:val="009E1DBC"/>
    <w:rsid w:val="009E279F"/>
    <w:rsid w:val="009E408D"/>
    <w:rsid w:val="009E6675"/>
    <w:rsid w:val="009E6924"/>
    <w:rsid w:val="009E69FF"/>
    <w:rsid w:val="009E753C"/>
    <w:rsid w:val="009E7EF3"/>
    <w:rsid w:val="009F3304"/>
    <w:rsid w:val="009F71B0"/>
    <w:rsid w:val="00A0154F"/>
    <w:rsid w:val="00A0168C"/>
    <w:rsid w:val="00A02115"/>
    <w:rsid w:val="00A05FE3"/>
    <w:rsid w:val="00A068D5"/>
    <w:rsid w:val="00A10DFF"/>
    <w:rsid w:val="00A11930"/>
    <w:rsid w:val="00A11DA0"/>
    <w:rsid w:val="00A12FEB"/>
    <w:rsid w:val="00A1619D"/>
    <w:rsid w:val="00A203A3"/>
    <w:rsid w:val="00A24566"/>
    <w:rsid w:val="00A26627"/>
    <w:rsid w:val="00A2664E"/>
    <w:rsid w:val="00A33E27"/>
    <w:rsid w:val="00A35C79"/>
    <w:rsid w:val="00A403C5"/>
    <w:rsid w:val="00A4171C"/>
    <w:rsid w:val="00A43734"/>
    <w:rsid w:val="00A45301"/>
    <w:rsid w:val="00A47E6B"/>
    <w:rsid w:val="00A65523"/>
    <w:rsid w:val="00A66E96"/>
    <w:rsid w:val="00A67266"/>
    <w:rsid w:val="00A67FE6"/>
    <w:rsid w:val="00A703DB"/>
    <w:rsid w:val="00A72DE1"/>
    <w:rsid w:val="00A73B8F"/>
    <w:rsid w:val="00A848FC"/>
    <w:rsid w:val="00A87D91"/>
    <w:rsid w:val="00A90BFC"/>
    <w:rsid w:val="00A973EF"/>
    <w:rsid w:val="00AA52B6"/>
    <w:rsid w:val="00AA56BA"/>
    <w:rsid w:val="00AA7727"/>
    <w:rsid w:val="00AB0AB6"/>
    <w:rsid w:val="00AB1136"/>
    <w:rsid w:val="00AB13CA"/>
    <w:rsid w:val="00AB1730"/>
    <w:rsid w:val="00AB49AF"/>
    <w:rsid w:val="00AB4D30"/>
    <w:rsid w:val="00AB5688"/>
    <w:rsid w:val="00AC20CB"/>
    <w:rsid w:val="00AC2B06"/>
    <w:rsid w:val="00AC318B"/>
    <w:rsid w:val="00AC57FF"/>
    <w:rsid w:val="00AC5CA7"/>
    <w:rsid w:val="00AC6F29"/>
    <w:rsid w:val="00AC7AC4"/>
    <w:rsid w:val="00AD19AA"/>
    <w:rsid w:val="00AD2D11"/>
    <w:rsid w:val="00AD642A"/>
    <w:rsid w:val="00AD74E0"/>
    <w:rsid w:val="00AE0A54"/>
    <w:rsid w:val="00AE3142"/>
    <w:rsid w:val="00AE3D41"/>
    <w:rsid w:val="00AE408B"/>
    <w:rsid w:val="00AF1792"/>
    <w:rsid w:val="00AF1963"/>
    <w:rsid w:val="00AF2A64"/>
    <w:rsid w:val="00AF48CC"/>
    <w:rsid w:val="00AF5E7B"/>
    <w:rsid w:val="00AF66D7"/>
    <w:rsid w:val="00AF713E"/>
    <w:rsid w:val="00B02B72"/>
    <w:rsid w:val="00B03B42"/>
    <w:rsid w:val="00B03EF9"/>
    <w:rsid w:val="00B04478"/>
    <w:rsid w:val="00B0583D"/>
    <w:rsid w:val="00B06AD6"/>
    <w:rsid w:val="00B14763"/>
    <w:rsid w:val="00B16837"/>
    <w:rsid w:val="00B22908"/>
    <w:rsid w:val="00B22ADF"/>
    <w:rsid w:val="00B26B66"/>
    <w:rsid w:val="00B31162"/>
    <w:rsid w:val="00B36742"/>
    <w:rsid w:val="00B36E1A"/>
    <w:rsid w:val="00B3781C"/>
    <w:rsid w:val="00B3792D"/>
    <w:rsid w:val="00B408CB"/>
    <w:rsid w:val="00B4153E"/>
    <w:rsid w:val="00B43227"/>
    <w:rsid w:val="00B442F4"/>
    <w:rsid w:val="00B45002"/>
    <w:rsid w:val="00B457E3"/>
    <w:rsid w:val="00B45DA3"/>
    <w:rsid w:val="00B478B7"/>
    <w:rsid w:val="00B5250B"/>
    <w:rsid w:val="00B52CAF"/>
    <w:rsid w:val="00B533D3"/>
    <w:rsid w:val="00B6019E"/>
    <w:rsid w:val="00B61408"/>
    <w:rsid w:val="00B624F5"/>
    <w:rsid w:val="00B634C4"/>
    <w:rsid w:val="00B63EE1"/>
    <w:rsid w:val="00B65516"/>
    <w:rsid w:val="00B67912"/>
    <w:rsid w:val="00B70876"/>
    <w:rsid w:val="00B70FEF"/>
    <w:rsid w:val="00B71A45"/>
    <w:rsid w:val="00B726CC"/>
    <w:rsid w:val="00B728EB"/>
    <w:rsid w:val="00B72A53"/>
    <w:rsid w:val="00B731AB"/>
    <w:rsid w:val="00B7340A"/>
    <w:rsid w:val="00B73D82"/>
    <w:rsid w:val="00B76964"/>
    <w:rsid w:val="00B813BF"/>
    <w:rsid w:val="00B909E5"/>
    <w:rsid w:val="00B915CE"/>
    <w:rsid w:val="00B92787"/>
    <w:rsid w:val="00B92902"/>
    <w:rsid w:val="00B93B85"/>
    <w:rsid w:val="00B964CE"/>
    <w:rsid w:val="00B96ADC"/>
    <w:rsid w:val="00B97651"/>
    <w:rsid w:val="00BA0F06"/>
    <w:rsid w:val="00BA15F1"/>
    <w:rsid w:val="00BA448B"/>
    <w:rsid w:val="00BA69F0"/>
    <w:rsid w:val="00BB011F"/>
    <w:rsid w:val="00BB0390"/>
    <w:rsid w:val="00BB16D4"/>
    <w:rsid w:val="00BB605C"/>
    <w:rsid w:val="00BB6A12"/>
    <w:rsid w:val="00BB6EDD"/>
    <w:rsid w:val="00BC05EE"/>
    <w:rsid w:val="00BC0C65"/>
    <w:rsid w:val="00BC3C53"/>
    <w:rsid w:val="00BC3E56"/>
    <w:rsid w:val="00BC4AD4"/>
    <w:rsid w:val="00BC5328"/>
    <w:rsid w:val="00BC5EF1"/>
    <w:rsid w:val="00BD27FA"/>
    <w:rsid w:val="00BD48BC"/>
    <w:rsid w:val="00BD5252"/>
    <w:rsid w:val="00BD6737"/>
    <w:rsid w:val="00BD6B1A"/>
    <w:rsid w:val="00BD7159"/>
    <w:rsid w:val="00BD78A9"/>
    <w:rsid w:val="00BD7F79"/>
    <w:rsid w:val="00BE1046"/>
    <w:rsid w:val="00BE13B6"/>
    <w:rsid w:val="00BF2C60"/>
    <w:rsid w:val="00BF6CF9"/>
    <w:rsid w:val="00BF71A5"/>
    <w:rsid w:val="00BF7758"/>
    <w:rsid w:val="00C003D2"/>
    <w:rsid w:val="00C02A3B"/>
    <w:rsid w:val="00C10A54"/>
    <w:rsid w:val="00C139C0"/>
    <w:rsid w:val="00C14EE7"/>
    <w:rsid w:val="00C15C35"/>
    <w:rsid w:val="00C16DB9"/>
    <w:rsid w:val="00C178E0"/>
    <w:rsid w:val="00C17AFD"/>
    <w:rsid w:val="00C17C0D"/>
    <w:rsid w:val="00C21FED"/>
    <w:rsid w:val="00C23E3F"/>
    <w:rsid w:val="00C2477B"/>
    <w:rsid w:val="00C25B65"/>
    <w:rsid w:val="00C2609C"/>
    <w:rsid w:val="00C27912"/>
    <w:rsid w:val="00C303DC"/>
    <w:rsid w:val="00C31BA5"/>
    <w:rsid w:val="00C33447"/>
    <w:rsid w:val="00C3779D"/>
    <w:rsid w:val="00C4259F"/>
    <w:rsid w:val="00C432E9"/>
    <w:rsid w:val="00C43434"/>
    <w:rsid w:val="00C47AFE"/>
    <w:rsid w:val="00C535F5"/>
    <w:rsid w:val="00C572A5"/>
    <w:rsid w:val="00C616A5"/>
    <w:rsid w:val="00C6285F"/>
    <w:rsid w:val="00C63793"/>
    <w:rsid w:val="00C63E28"/>
    <w:rsid w:val="00C76937"/>
    <w:rsid w:val="00C81C79"/>
    <w:rsid w:val="00C848AD"/>
    <w:rsid w:val="00C907D0"/>
    <w:rsid w:val="00C911FE"/>
    <w:rsid w:val="00C95279"/>
    <w:rsid w:val="00C96D8B"/>
    <w:rsid w:val="00C97B8A"/>
    <w:rsid w:val="00CA4797"/>
    <w:rsid w:val="00CA5C9F"/>
    <w:rsid w:val="00CA6BC3"/>
    <w:rsid w:val="00CA75C0"/>
    <w:rsid w:val="00CB610B"/>
    <w:rsid w:val="00CB7674"/>
    <w:rsid w:val="00CC0775"/>
    <w:rsid w:val="00CC10B7"/>
    <w:rsid w:val="00CC1690"/>
    <w:rsid w:val="00CC17D8"/>
    <w:rsid w:val="00CC323F"/>
    <w:rsid w:val="00CC3EE3"/>
    <w:rsid w:val="00CC4DF1"/>
    <w:rsid w:val="00CC65E1"/>
    <w:rsid w:val="00CD0338"/>
    <w:rsid w:val="00CD23BD"/>
    <w:rsid w:val="00CE050A"/>
    <w:rsid w:val="00CE2715"/>
    <w:rsid w:val="00CE3AA5"/>
    <w:rsid w:val="00CE6CDF"/>
    <w:rsid w:val="00CE6E6B"/>
    <w:rsid w:val="00CF2410"/>
    <w:rsid w:val="00CF5524"/>
    <w:rsid w:val="00CF6622"/>
    <w:rsid w:val="00CF78E3"/>
    <w:rsid w:val="00D00FA4"/>
    <w:rsid w:val="00D034D2"/>
    <w:rsid w:val="00D05636"/>
    <w:rsid w:val="00D0679F"/>
    <w:rsid w:val="00D070ED"/>
    <w:rsid w:val="00D07793"/>
    <w:rsid w:val="00D13CE0"/>
    <w:rsid w:val="00D17599"/>
    <w:rsid w:val="00D17BB3"/>
    <w:rsid w:val="00D22A8E"/>
    <w:rsid w:val="00D24DE0"/>
    <w:rsid w:val="00D25212"/>
    <w:rsid w:val="00D25227"/>
    <w:rsid w:val="00D25656"/>
    <w:rsid w:val="00D305A0"/>
    <w:rsid w:val="00D308D8"/>
    <w:rsid w:val="00D31994"/>
    <w:rsid w:val="00D33C0C"/>
    <w:rsid w:val="00D36041"/>
    <w:rsid w:val="00D372B9"/>
    <w:rsid w:val="00D42486"/>
    <w:rsid w:val="00D44BA0"/>
    <w:rsid w:val="00D4578A"/>
    <w:rsid w:val="00D46898"/>
    <w:rsid w:val="00D51F33"/>
    <w:rsid w:val="00D53300"/>
    <w:rsid w:val="00D57104"/>
    <w:rsid w:val="00D57966"/>
    <w:rsid w:val="00D57BDC"/>
    <w:rsid w:val="00D6049A"/>
    <w:rsid w:val="00D614A6"/>
    <w:rsid w:val="00D64504"/>
    <w:rsid w:val="00D65E27"/>
    <w:rsid w:val="00D67E1D"/>
    <w:rsid w:val="00D707B6"/>
    <w:rsid w:val="00D72F9D"/>
    <w:rsid w:val="00D74281"/>
    <w:rsid w:val="00D743E0"/>
    <w:rsid w:val="00D74BEF"/>
    <w:rsid w:val="00D769B2"/>
    <w:rsid w:val="00D7715C"/>
    <w:rsid w:val="00D80293"/>
    <w:rsid w:val="00D82CAE"/>
    <w:rsid w:val="00D84E3F"/>
    <w:rsid w:val="00D92EA6"/>
    <w:rsid w:val="00D9357E"/>
    <w:rsid w:val="00D94676"/>
    <w:rsid w:val="00D9590C"/>
    <w:rsid w:val="00D96D62"/>
    <w:rsid w:val="00DA6481"/>
    <w:rsid w:val="00DB0A41"/>
    <w:rsid w:val="00DB1055"/>
    <w:rsid w:val="00DB1DD9"/>
    <w:rsid w:val="00DB26FF"/>
    <w:rsid w:val="00DB2E4F"/>
    <w:rsid w:val="00DB3EC4"/>
    <w:rsid w:val="00DB488B"/>
    <w:rsid w:val="00DB5D92"/>
    <w:rsid w:val="00DC59EF"/>
    <w:rsid w:val="00DC5F2D"/>
    <w:rsid w:val="00DC6F12"/>
    <w:rsid w:val="00DD04D7"/>
    <w:rsid w:val="00DD1B50"/>
    <w:rsid w:val="00DD2925"/>
    <w:rsid w:val="00DD2C53"/>
    <w:rsid w:val="00DD559B"/>
    <w:rsid w:val="00DD7D17"/>
    <w:rsid w:val="00DE10B8"/>
    <w:rsid w:val="00DE21D4"/>
    <w:rsid w:val="00DE2CD6"/>
    <w:rsid w:val="00DE406A"/>
    <w:rsid w:val="00DE42A1"/>
    <w:rsid w:val="00DE6034"/>
    <w:rsid w:val="00DF2B2B"/>
    <w:rsid w:val="00DF34E2"/>
    <w:rsid w:val="00DF4D39"/>
    <w:rsid w:val="00E001FF"/>
    <w:rsid w:val="00E00857"/>
    <w:rsid w:val="00E00B4B"/>
    <w:rsid w:val="00E01016"/>
    <w:rsid w:val="00E02BD5"/>
    <w:rsid w:val="00E121CB"/>
    <w:rsid w:val="00E13349"/>
    <w:rsid w:val="00E13819"/>
    <w:rsid w:val="00E13C5E"/>
    <w:rsid w:val="00E15CE0"/>
    <w:rsid w:val="00E162D9"/>
    <w:rsid w:val="00E20E50"/>
    <w:rsid w:val="00E2382B"/>
    <w:rsid w:val="00E312EE"/>
    <w:rsid w:val="00E355D6"/>
    <w:rsid w:val="00E44934"/>
    <w:rsid w:val="00E47232"/>
    <w:rsid w:val="00E509E9"/>
    <w:rsid w:val="00E5158E"/>
    <w:rsid w:val="00E52E74"/>
    <w:rsid w:val="00E53CB2"/>
    <w:rsid w:val="00E55306"/>
    <w:rsid w:val="00E557F4"/>
    <w:rsid w:val="00E568F4"/>
    <w:rsid w:val="00E570D6"/>
    <w:rsid w:val="00E574DC"/>
    <w:rsid w:val="00E57B81"/>
    <w:rsid w:val="00E62677"/>
    <w:rsid w:val="00E62DB2"/>
    <w:rsid w:val="00E658B0"/>
    <w:rsid w:val="00E6620A"/>
    <w:rsid w:val="00E71A2B"/>
    <w:rsid w:val="00E7541E"/>
    <w:rsid w:val="00E7616F"/>
    <w:rsid w:val="00E76A78"/>
    <w:rsid w:val="00E77A8C"/>
    <w:rsid w:val="00E80C10"/>
    <w:rsid w:val="00E810F5"/>
    <w:rsid w:val="00E83185"/>
    <w:rsid w:val="00E918D4"/>
    <w:rsid w:val="00E91CCE"/>
    <w:rsid w:val="00E9316E"/>
    <w:rsid w:val="00E93CC3"/>
    <w:rsid w:val="00E958F7"/>
    <w:rsid w:val="00E966A0"/>
    <w:rsid w:val="00EB1064"/>
    <w:rsid w:val="00EB1561"/>
    <w:rsid w:val="00EB20CB"/>
    <w:rsid w:val="00EB24D5"/>
    <w:rsid w:val="00EB5A20"/>
    <w:rsid w:val="00EB69BA"/>
    <w:rsid w:val="00EB6FFE"/>
    <w:rsid w:val="00EC2602"/>
    <w:rsid w:val="00EC49CC"/>
    <w:rsid w:val="00EC5624"/>
    <w:rsid w:val="00ED064D"/>
    <w:rsid w:val="00ED083F"/>
    <w:rsid w:val="00ED5DB9"/>
    <w:rsid w:val="00ED5FD2"/>
    <w:rsid w:val="00EE1B9F"/>
    <w:rsid w:val="00EF0CAD"/>
    <w:rsid w:val="00EF1D2E"/>
    <w:rsid w:val="00EF53B7"/>
    <w:rsid w:val="00EF6068"/>
    <w:rsid w:val="00EF703F"/>
    <w:rsid w:val="00EF78CA"/>
    <w:rsid w:val="00EF7BC2"/>
    <w:rsid w:val="00F0033B"/>
    <w:rsid w:val="00F00E56"/>
    <w:rsid w:val="00F04E93"/>
    <w:rsid w:val="00F101EA"/>
    <w:rsid w:val="00F1058C"/>
    <w:rsid w:val="00F10D96"/>
    <w:rsid w:val="00F12C70"/>
    <w:rsid w:val="00F12DD4"/>
    <w:rsid w:val="00F13419"/>
    <w:rsid w:val="00F13A27"/>
    <w:rsid w:val="00F1410C"/>
    <w:rsid w:val="00F15250"/>
    <w:rsid w:val="00F219CF"/>
    <w:rsid w:val="00F21F4A"/>
    <w:rsid w:val="00F22AE4"/>
    <w:rsid w:val="00F23705"/>
    <w:rsid w:val="00F2433F"/>
    <w:rsid w:val="00F24403"/>
    <w:rsid w:val="00F261D7"/>
    <w:rsid w:val="00F27F16"/>
    <w:rsid w:val="00F316EE"/>
    <w:rsid w:val="00F32285"/>
    <w:rsid w:val="00F32825"/>
    <w:rsid w:val="00F3437A"/>
    <w:rsid w:val="00F348D0"/>
    <w:rsid w:val="00F47C0F"/>
    <w:rsid w:val="00F501C4"/>
    <w:rsid w:val="00F50E48"/>
    <w:rsid w:val="00F51B8D"/>
    <w:rsid w:val="00F54D52"/>
    <w:rsid w:val="00F5580A"/>
    <w:rsid w:val="00F57476"/>
    <w:rsid w:val="00F61509"/>
    <w:rsid w:val="00F61EB3"/>
    <w:rsid w:val="00F61F15"/>
    <w:rsid w:val="00F63F31"/>
    <w:rsid w:val="00F64A26"/>
    <w:rsid w:val="00F66522"/>
    <w:rsid w:val="00F67C4B"/>
    <w:rsid w:val="00F70B68"/>
    <w:rsid w:val="00F71E03"/>
    <w:rsid w:val="00F72D92"/>
    <w:rsid w:val="00F751F8"/>
    <w:rsid w:val="00F75AA4"/>
    <w:rsid w:val="00F75FE5"/>
    <w:rsid w:val="00F77DBC"/>
    <w:rsid w:val="00F81DBB"/>
    <w:rsid w:val="00F826F9"/>
    <w:rsid w:val="00F8351A"/>
    <w:rsid w:val="00F845CF"/>
    <w:rsid w:val="00F92297"/>
    <w:rsid w:val="00F94837"/>
    <w:rsid w:val="00F9654B"/>
    <w:rsid w:val="00F9678B"/>
    <w:rsid w:val="00FA1C7C"/>
    <w:rsid w:val="00FA43E0"/>
    <w:rsid w:val="00FA4BD1"/>
    <w:rsid w:val="00FA56BA"/>
    <w:rsid w:val="00FA5FA9"/>
    <w:rsid w:val="00FA6139"/>
    <w:rsid w:val="00FB057D"/>
    <w:rsid w:val="00FB184C"/>
    <w:rsid w:val="00FB1FBC"/>
    <w:rsid w:val="00FB624E"/>
    <w:rsid w:val="00FB6BD7"/>
    <w:rsid w:val="00FB7920"/>
    <w:rsid w:val="00FB7D40"/>
    <w:rsid w:val="00FC0BE0"/>
    <w:rsid w:val="00FC45D6"/>
    <w:rsid w:val="00FC5A8C"/>
    <w:rsid w:val="00FC5C0C"/>
    <w:rsid w:val="00FC6365"/>
    <w:rsid w:val="00FC650F"/>
    <w:rsid w:val="00FC7366"/>
    <w:rsid w:val="00FD265A"/>
    <w:rsid w:val="00FD3217"/>
    <w:rsid w:val="00FD422F"/>
    <w:rsid w:val="00FD43FE"/>
    <w:rsid w:val="00FD4D27"/>
    <w:rsid w:val="00FD7552"/>
    <w:rsid w:val="00FE1CA0"/>
    <w:rsid w:val="00FE220C"/>
    <w:rsid w:val="00FE48AC"/>
    <w:rsid w:val="00FE6639"/>
    <w:rsid w:val="00FE79F9"/>
    <w:rsid w:val="00FF0198"/>
    <w:rsid w:val="00FF034C"/>
    <w:rsid w:val="00FF1E72"/>
    <w:rsid w:val="00FF2041"/>
    <w:rsid w:val="00FF378E"/>
    <w:rsid w:val="00FF3C14"/>
    <w:rsid w:val="00FF4195"/>
    <w:rsid w:val="02E81898"/>
    <w:rsid w:val="03095195"/>
    <w:rsid w:val="03A97451"/>
    <w:rsid w:val="0A006CF3"/>
    <w:rsid w:val="0AF3713B"/>
    <w:rsid w:val="0ECB6D56"/>
    <w:rsid w:val="0F3845DA"/>
    <w:rsid w:val="0F78C1DD"/>
    <w:rsid w:val="13922ADA"/>
    <w:rsid w:val="13B21BD2"/>
    <w:rsid w:val="17FF5C90"/>
    <w:rsid w:val="180A42DC"/>
    <w:rsid w:val="199C452F"/>
    <w:rsid w:val="20C3658A"/>
    <w:rsid w:val="21F24CDC"/>
    <w:rsid w:val="23F24EDE"/>
    <w:rsid w:val="2698637E"/>
    <w:rsid w:val="277733FD"/>
    <w:rsid w:val="27C621FE"/>
    <w:rsid w:val="2CDF1BED"/>
    <w:rsid w:val="2F3FA45C"/>
    <w:rsid w:val="2FA7B8AC"/>
    <w:rsid w:val="2FDD444A"/>
    <w:rsid w:val="33BC3659"/>
    <w:rsid w:val="33F5D436"/>
    <w:rsid w:val="345310F8"/>
    <w:rsid w:val="375FE8B1"/>
    <w:rsid w:val="37F7B6B4"/>
    <w:rsid w:val="3A141D02"/>
    <w:rsid w:val="3AB67D42"/>
    <w:rsid w:val="3DFF0B88"/>
    <w:rsid w:val="3E7718C2"/>
    <w:rsid w:val="3FFC6A48"/>
    <w:rsid w:val="40CB28E7"/>
    <w:rsid w:val="42EB7271"/>
    <w:rsid w:val="43FE7F36"/>
    <w:rsid w:val="4CF7684D"/>
    <w:rsid w:val="4F654402"/>
    <w:rsid w:val="4F7D1B3D"/>
    <w:rsid w:val="4FEE7715"/>
    <w:rsid w:val="51FED7AB"/>
    <w:rsid w:val="544113A5"/>
    <w:rsid w:val="54C05E39"/>
    <w:rsid w:val="54E929D6"/>
    <w:rsid w:val="553F0B71"/>
    <w:rsid w:val="56EF7061"/>
    <w:rsid w:val="570A4FDE"/>
    <w:rsid w:val="57AF806E"/>
    <w:rsid w:val="57EB92CE"/>
    <w:rsid w:val="583A1519"/>
    <w:rsid w:val="58C02F33"/>
    <w:rsid w:val="5917424A"/>
    <w:rsid w:val="59EA6EA9"/>
    <w:rsid w:val="5ADB47C6"/>
    <w:rsid w:val="5AF66216"/>
    <w:rsid w:val="5BD462C2"/>
    <w:rsid w:val="5DB74C7D"/>
    <w:rsid w:val="5DEEA94C"/>
    <w:rsid w:val="5DEF3B06"/>
    <w:rsid w:val="5EC48898"/>
    <w:rsid w:val="5EFA7CCD"/>
    <w:rsid w:val="5F7FAF0F"/>
    <w:rsid w:val="5FD73374"/>
    <w:rsid w:val="5FEA4744"/>
    <w:rsid w:val="5FEFCFB8"/>
    <w:rsid w:val="5FFE15E5"/>
    <w:rsid w:val="5FFF55AF"/>
    <w:rsid w:val="61B85024"/>
    <w:rsid w:val="628F1993"/>
    <w:rsid w:val="66EB8D5E"/>
    <w:rsid w:val="6A7CB404"/>
    <w:rsid w:val="6BBEE92E"/>
    <w:rsid w:val="6DFCD38C"/>
    <w:rsid w:val="6F4018FD"/>
    <w:rsid w:val="6F5F5CF9"/>
    <w:rsid w:val="6F75DAEC"/>
    <w:rsid w:val="6FBB27F8"/>
    <w:rsid w:val="6FFF438D"/>
    <w:rsid w:val="73D73E00"/>
    <w:rsid w:val="74FF80F0"/>
    <w:rsid w:val="757DE146"/>
    <w:rsid w:val="75ED5D32"/>
    <w:rsid w:val="78D9769F"/>
    <w:rsid w:val="79F27063"/>
    <w:rsid w:val="7A186E65"/>
    <w:rsid w:val="7AFD5009"/>
    <w:rsid w:val="7BDFF9DF"/>
    <w:rsid w:val="7BED964C"/>
    <w:rsid w:val="7CBD08A7"/>
    <w:rsid w:val="7CE3522E"/>
    <w:rsid w:val="7CFFB48C"/>
    <w:rsid w:val="7DCC1079"/>
    <w:rsid w:val="7DDBC1F9"/>
    <w:rsid w:val="7DFFBFD0"/>
    <w:rsid w:val="7E252C1E"/>
    <w:rsid w:val="7E7650D3"/>
    <w:rsid w:val="7E7E1073"/>
    <w:rsid w:val="7EB5447F"/>
    <w:rsid w:val="7EFDDB27"/>
    <w:rsid w:val="7F7B911B"/>
    <w:rsid w:val="7F7D58EC"/>
    <w:rsid w:val="7FB7C67E"/>
    <w:rsid w:val="7FBA073C"/>
    <w:rsid w:val="7FBEC8B4"/>
    <w:rsid w:val="7FFB8B30"/>
    <w:rsid w:val="87BFD3FE"/>
    <w:rsid w:val="8BF7825F"/>
    <w:rsid w:val="91B9E013"/>
    <w:rsid w:val="9BBFD242"/>
    <w:rsid w:val="9D4B5CFF"/>
    <w:rsid w:val="A1F63E82"/>
    <w:rsid w:val="AD5F5AE9"/>
    <w:rsid w:val="B7EFA71C"/>
    <w:rsid w:val="B7FD6C2D"/>
    <w:rsid w:val="B9679CB1"/>
    <w:rsid w:val="BA7B23C6"/>
    <w:rsid w:val="BE65AF99"/>
    <w:rsid w:val="BFFF0300"/>
    <w:rsid w:val="C56791A1"/>
    <w:rsid w:val="CE2EAA58"/>
    <w:rsid w:val="CFFF7263"/>
    <w:rsid w:val="D06B6B49"/>
    <w:rsid w:val="D7FFE19C"/>
    <w:rsid w:val="DDEDBC49"/>
    <w:rsid w:val="DFB7AF6F"/>
    <w:rsid w:val="DFD1D42C"/>
    <w:rsid w:val="DFEFD79F"/>
    <w:rsid w:val="DFF637F9"/>
    <w:rsid w:val="DFF7E9E8"/>
    <w:rsid w:val="E3FA84A3"/>
    <w:rsid w:val="E737096F"/>
    <w:rsid w:val="E9F71EFB"/>
    <w:rsid w:val="EBD37C9D"/>
    <w:rsid w:val="ECFFE209"/>
    <w:rsid w:val="EEE61227"/>
    <w:rsid w:val="EEFDF43D"/>
    <w:rsid w:val="EFFF6198"/>
    <w:rsid w:val="EFFFF078"/>
    <w:rsid w:val="F5F7580D"/>
    <w:rsid w:val="F63DAFDE"/>
    <w:rsid w:val="FA0B9694"/>
    <w:rsid w:val="FB6E079A"/>
    <w:rsid w:val="FB7E255A"/>
    <w:rsid w:val="FBF32310"/>
    <w:rsid w:val="FD6D9EBB"/>
    <w:rsid w:val="FD7E1196"/>
    <w:rsid w:val="FD7F7327"/>
    <w:rsid w:val="FD9C92D2"/>
    <w:rsid w:val="FDFB051F"/>
    <w:rsid w:val="FDFF7496"/>
    <w:rsid w:val="FE4F8E16"/>
    <w:rsid w:val="FE734873"/>
    <w:rsid w:val="FFBBED19"/>
    <w:rsid w:val="FFCBC5C2"/>
    <w:rsid w:val="FFD147EC"/>
    <w:rsid w:val="FFDD91BF"/>
    <w:rsid w:val="FFF0FA2D"/>
    <w:rsid w:val="FFF62971"/>
    <w:rsid w:val="FFF951D3"/>
    <w:rsid w:val="FFFAB9D7"/>
    <w:rsid w:val="FFFF0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w:basedOn w:val="1"/>
    <w:link w:val="34"/>
    <w:qFormat/>
    <w:uiPriority w:val="0"/>
    <w:pPr>
      <w:jc w:val="center"/>
    </w:pPr>
    <w:rPr>
      <w:rFonts w:eastAsia="华文新魏"/>
      <w:sz w:val="48"/>
    </w:rPr>
  </w:style>
  <w:style w:type="paragraph" w:styleId="6">
    <w:name w:val="Body Text Indent"/>
    <w:basedOn w:val="1"/>
    <w:link w:val="47"/>
    <w:unhideWhenUsed/>
    <w:qFormat/>
    <w:uiPriority w:val="99"/>
    <w:pPr>
      <w:spacing w:after="120"/>
      <w:ind w:left="420" w:leftChars="200"/>
    </w:pPr>
  </w:style>
  <w:style w:type="paragraph" w:styleId="7">
    <w:name w:val="Date"/>
    <w:basedOn w:val="1"/>
    <w:next w:val="1"/>
    <w:link w:val="23"/>
    <w:unhideWhenUsed/>
    <w:qFormat/>
    <w:uiPriority w:val="0"/>
    <w:pPr>
      <w:ind w:left="100" w:leftChars="2500"/>
    </w:pPr>
  </w:style>
  <w:style w:type="paragraph" w:styleId="8">
    <w:name w:val="Balloon Text"/>
    <w:basedOn w:val="1"/>
    <w:link w:val="35"/>
    <w:unhideWhenUsed/>
    <w:qFormat/>
    <w:uiPriority w:val="0"/>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6"/>
    <w:qFormat/>
    <w:uiPriority w:val="0"/>
    <w:pPr>
      <w:adjustRightInd w:val="0"/>
      <w:spacing w:line="520" w:lineRule="exact"/>
      <w:ind w:firstLine="210"/>
      <w:textAlignment w:val="baseline"/>
    </w:pPr>
    <w:rPr>
      <w:rFonts w:ascii="黑体" w:hAnsi="Arial" w:eastAsia="黑体"/>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page number"/>
    <w:basedOn w:val="15"/>
    <w:qFormat/>
    <w:uiPriority w:val="0"/>
  </w:style>
  <w:style w:type="character" w:styleId="18">
    <w:name w:val="FollowedHyperlink"/>
    <w:basedOn w:val="15"/>
    <w:unhideWhenUsed/>
    <w:qFormat/>
    <w:uiPriority w:val="99"/>
    <w:rPr>
      <w:color w:val="800080"/>
      <w:u w:val="single"/>
    </w:rPr>
  </w:style>
  <w:style w:type="character" w:styleId="19">
    <w:name w:val="Hyperlink"/>
    <w:basedOn w:val="15"/>
    <w:unhideWhenUsed/>
    <w:qFormat/>
    <w:uiPriority w:val="0"/>
    <w:rPr>
      <w:color w:val="0000FF"/>
      <w:u w:val="single"/>
    </w:rPr>
  </w:style>
  <w:style w:type="paragraph" w:customStyle="1" w:styleId="20">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character" w:customStyle="1" w:styleId="21">
    <w:name w:val="页眉 Char"/>
    <w:basedOn w:val="15"/>
    <w:link w:val="2"/>
    <w:semiHidden/>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日期 Char"/>
    <w:basedOn w:val="15"/>
    <w:link w:val="7"/>
    <w:semiHidden/>
    <w:qFormat/>
    <w:uiPriority w:val="99"/>
  </w:style>
  <w:style w:type="paragraph" w:customStyle="1" w:styleId="24">
    <w:name w:val="列出段落1"/>
    <w:basedOn w:val="1"/>
    <w:qFormat/>
    <w:uiPriority w:val="34"/>
    <w:pPr>
      <w:ind w:firstLine="420" w:firstLineChars="200"/>
    </w:p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xl63"/>
    <w:basedOn w:val="1"/>
    <w:qFormat/>
    <w:uiPriority w:val="0"/>
    <w:pPr>
      <w:widowControl/>
      <w:pBdr>
        <w:bottom w:val="single" w:color="auto" w:sz="4" w:space="0"/>
      </w:pBdr>
      <w:spacing w:before="100" w:beforeAutospacing="1" w:after="100" w:afterAutospacing="1"/>
      <w:jc w:val="right"/>
      <w:textAlignment w:val="center"/>
    </w:pPr>
    <w:rPr>
      <w:rFonts w:ascii="宋体" w:hAnsi="宋体" w:cs="宋体"/>
      <w:b/>
      <w:bCs/>
      <w:kern w:val="0"/>
      <w:sz w:val="40"/>
      <w:szCs w:val="40"/>
    </w:rPr>
  </w:style>
  <w:style w:type="paragraph" w:customStyle="1" w:styleId="27">
    <w:name w:val="xl64"/>
    <w:basedOn w:val="1"/>
    <w:qFormat/>
    <w:uiPriority w:val="0"/>
    <w:pPr>
      <w:widowControl/>
      <w:pBdr>
        <w:bottom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8">
    <w:name w:val="xl65"/>
    <w:basedOn w:val="1"/>
    <w:qFormat/>
    <w:uiPriority w:val="0"/>
    <w:pPr>
      <w:widowControl/>
      <w:spacing w:before="100" w:beforeAutospacing="1" w:after="100" w:afterAutospacing="1"/>
      <w:jc w:val="right"/>
    </w:pPr>
    <w:rPr>
      <w:rFonts w:ascii="宋体" w:hAnsi="宋体" w:cs="宋体"/>
      <w:kern w:val="0"/>
      <w:sz w:val="24"/>
    </w:rPr>
  </w:style>
  <w:style w:type="paragraph" w:customStyle="1" w:styleId="2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0">
    <w:name w:val="xl67"/>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33">
    <w:name w:val="xl70"/>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character" w:customStyle="1" w:styleId="34">
    <w:name w:val="正文文本 Char"/>
    <w:basedOn w:val="15"/>
    <w:link w:val="5"/>
    <w:qFormat/>
    <w:uiPriority w:val="0"/>
    <w:rPr>
      <w:rFonts w:ascii="Times New Roman" w:hAnsi="Times New Roman" w:eastAsia="华文新魏" w:cs="Times New Roman"/>
      <w:sz w:val="48"/>
      <w:szCs w:val="24"/>
    </w:rPr>
  </w:style>
  <w:style w:type="character" w:customStyle="1" w:styleId="35">
    <w:name w:val="批注框文本 Char"/>
    <w:basedOn w:val="15"/>
    <w:link w:val="8"/>
    <w:semiHidden/>
    <w:qFormat/>
    <w:uiPriority w:val="99"/>
    <w:rPr>
      <w:rFonts w:ascii="Times New Roman" w:hAnsi="Times New Roman" w:eastAsia="宋体" w:cs="Times New Roman"/>
      <w:sz w:val="18"/>
      <w:szCs w:val="18"/>
    </w:rPr>
  </w:style>
  <w:style w:type="character" w:customStyle="1" w:styleId="36">
    <w:name w:val="标题 1 Char"/>
    <w:basedOn w:val="15"/>
    <w:link w:val="3"/>
    <w:qFormat/>
    <w:uiPriority w:val="0"/>
    <w:rPr>
      <w:rFonts w:ascii="宋体" w:hAnsi="宋体" w:eastAsia="宋体" w:cs="宋体"/>
      <w:b/>
      <w:bCs/>
      <w:kern w:val="36"/>
      <w:sz w:val="48"/>
      <w:szCs w:val="48"/>
    </w:rPr>
  </w:style>
  <w:style w:type="paragraph" w:customStyle="1" w:styleId="37">
    <w:name w:val="Char"/>
    <w:basedOn w:val="1"/>
    <w:qFormat/>
    <w:uiPriority w:val="0"/>
    <w:pPr>
      <w:spacing w:line="360" w:lineRule="auto"/>
      <w:ind w:firstLine="420"/>
    </w:pPr>
    <w:rPr>
      <w:rFonts w:ascii="Bookman Old Style" w:hAnsi="Bookman Old Style" w:eastAsia="仿宋_GB2312"/>
      <w:sz w:val="28"/>
      <w:szCs w:val="28"/>
    </w:rPr>
  </w:style>
  <w:style w:type="paragraph" w:customStyle="1" w:styleId="38">
    <w:name w:val="Char1"/>
    <w:basedOn w:val="1"/>
    <w:qFormat/>
    <w:uiPriority w:val="0"/>
    <w:pPr>
      <w:spacing w:line="360" w:lineRule="auto"/>
      <w:ind w:firstLine="420"/>
    </w:pPr>
    <w:rPr>
      <w:rFonts w:ascii="Bookman Old Style" w:hAnsi="Bookman Old Style" w:eastAsia="仿宋_GB2312"/>
      <w:sz w:val="28"/>
      <w:szCs w:val="28"/>
    </w:rPr>
  </w:style>
  <w:style w:type="paragraph" w:customStyle="1" w:styleId="39">
    <w:name w:val="要情"/>
    <w:basedOn w:val="1"/>
    <w:link w:val="43"/>
    <w:qFormat/>
    <w:uiPriority w:val="0"/>
    <w:pPr>
      <w:spacing w:line="360" w:lineRule="auto"/>
      <w:ind w:firstLine="196" w:firstLineChars="196"/>
    </w:pPr>
    <w:rPr>
      <w:rFonts w:ascii="仿宋_GB2312" w:eastAsia="仿宋_GB2312"/>
      <w:bCs/>
      <w:color w:val="000000"/>
      <w:sz w:val="32"/>
      <w:szCs w:val="32"/>
    </w:rPr>
  </w:style>
  <w:style w:type="paragraph" w:customStyle="1" w:styleId="40">
    <w:name w:val="Char Char Char1 Char Char Char Char Char Char Char"/>
    <w:basedOn w:val="1"/>
    <w:qFormat/>
    <w:uiPriority w:val="0"/>
  </w:style>
  <w:style w:type="paragraph" w:customStyle="1" w:styleId="41">
    <w:name w:val="要情1"/>
    <w:basedOn w:val="39"/>
    <w:link w:val="42"/>
    <w:qFormat/>
    <w:uiPriority w:val="0"/>
    <w:pPr>
      <w:ind w:firstLine="200" w:firstLineChars="200"/>
    </w:pPr>
    <w:rPr>
      <w:rFonts w:ascii="仿宋" w:hAnsi="仿宋" w:eastAsia="仿宋" w:cs="宋体"/>
    </w:rPr>
  </w:style>
  <w:style w:type="character" w:customStyle="1" w:styleId="42">
    <w:name w:val="要情1 Char"/>
    <w:basedOn w:val="15"/>
    <w:link w:val="41"/>
    <w:qFormat/>
    <w:uiPriority w:val="0"/>
    <w:rPr>
      <w:rFonts w:ascii="仿宋" w:hAnsi="仿宋" w:eastAsia="仿宋" w:cs="宋体"/>
      <w:bCs/>
      <w:color w:val="000000"/>
      <w:sz w:val="32"/>
      <w:szCs w:val="32"/>
    </w:rPr>
  </w:style>
  <w:style w:type="character" w:customStyle="1" w:styleId="43">
    <w:name w:val="要情 Char"/>
    <w:basedOn w:val="15"/>
    <w:link w:val="39"/>
    <w:qFormat/>
    <w:uiPriority w:val="0"/>
    <w:rPr>
      <w:rFonts w:ascii="仿宋_GB2312" w:hAnsi="Times New Roman" w:eastAsia="仿宋_GB2312" w:cs="Times New Roman"/>
      <w:bCs/>
      <w:color w:val="000000"/>
      <w:sz w:val="32"/>
      <w:szCs w:val="32"/>
    </w:rPr>
  </w:style>
  <w:style w:type="paragraph" w:customStyle="1" w:styleId="44">
    <w:name w:val="Char Char Char Char Char Char Char"/>
    <w:basedOn w:val="1"/>
    <w:qFormat/>
    <w:uiPriority w:val="0"/>
    <w:rPr>
      <w:szCs w:val="21"/>
    </w:rPr>
  </w:style>
  <w:style w:type="character" w:customStyle="1" w:styleId="45">
    <w:name w:val="不明显强调1"/>
    <w:basedOn w:val="15"/>
    <w:qFormat/>
    <w:uiPriority w:val="19"/>
    <w:rPr>
      <w:i/>
      <w:iCs/>
      <w:color w:val="7E7E7E" w:themeColor="text1" w:themeTint="80"/>
    </w:rPr>
  </w:style>
  <w:style w:type="paragraph" w:customStyle="1" w:styleId="46">
    <w:name w:val="Char Char1"/>
    <w:basedOn w:val="1"/>
    <w:qFormat/>
    <w:uiPriority w:val="0"/>
    <w:pPr>
      <w:widowControl/>
      <w:spacing w:after="160" w:line="240" w:lineRule="exact"/>
      <w:jc w:val="left"/>
    </w:pPr>
    <w:rPr>
      <w:rFonts w:eastAsia="仿宋_GB2312"/>
      <w:sz w:val="32"/>
      <w:szCs w:val="20"/>
    </w:rPr>
  </w:style>
  <w:style w:type="character" w:customStyle="1" w:styleId="47">
    <w:name w:val="正文文本缩进 Char"/>
    <w:basedOn w:val="15"/>
    <w:link w:val="6"/>
    <w:semiHidden/>
    <w:qFormat/>
    <w:uiPriority w:val="99"/>
    <w:rPr>
      <w:rFonts w:ascii="Times New Roman" w:hAnsi="Times New Roman" w:eastAsia="宋体" w:cs="Times New Roman"/>
      <w:szCs w:val="24"/>
    </w:rPr>
  </w:style>
  <w:style w:type="character" w:customStyle="1" w:styleId="48">
    <w:name w:val="标题 2 Char"/>
    <w:basedOn w:val="15"/>
    <w:link w:val="4"/>
    <w:qFormat/>
    <w:uiPriority w:val="9"/>
    <w:rPr>
      <w:rFonts w:asciiTheme="majorHAnsi" w:hAnsiTheme="majorHAnsi" w:eastAsiaTheme="majorEastAsia" w:cstheme="majorBidi"/>
      <w:b/>
      <w:bCs/>
      <w:sz w:val="32"/>
      <w:szCs w:val="32"/>
    </w:rPr>
  </w:style>
  <w:style w:type="paragraph" w:customStyle="1" w:styleId="49">
    <w:name w:val="表格"/>
    <w:basedOn w:val="1"/>
    <w:qFormat/>
    <w:uiPriority w:val="0"/>
    <w:pPr>
      <w:spacing w:line="500" w:lineRule="exact"/>
    </w:pPr>
    <w:rPr>
      <w:rFonts w:ascii="宋体" w:hAnsi="宋体"/>
      <w:b/>
      <w:bCs/>
      <w:snapToGrid w:val="0"/>
      <w:kern w:val="0"/>
      <w:sz w:val="24"/>
    </w:rPr>
  </w:style>
  <w:style w:type="paragraph" w:customStyle="1" w:styleId="50">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跋涉">
      <a:fillStyleLst>
        <a:solidFill>
          <a:schemeClr val="phClr"/>
        </a:solidFill>
        <a:gradFill rotWithShape="true">
          <a:gsLst>
            <a:gs pos="0">
              <a:schemeClr val="phClr">
                <a:tint val="30000"/>
                <a:satMod val="250000"/>
              </a:schemeClr>
            </a:gs>
            <a:gs pos="72000">
              <a:schemeClr val="phClr">
                <a:tint val="75000"/>
                <a:satMod val="210000"/>
              </a:schemeClr>
            </a:gs>
            <a:gs pos="100000">
              <a:schemeClr val="phClr">
                <a:tint val="85000"/>
                <a:satMod val="210000"/>
              </a:schemeClr>
            </a:gs>
          </a:gsLst>
          <a:lin ang="5400000" scaled="true"/>
        </a:gradFill>
        <a:gradFill rotWithShape="true">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true"/>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4" textRotate="1"/>
    <customShpInfo spid="_x0000_s2049"/>
    <customShpInfo spid="_x0000_s2052"/>
    <customShpInfo spid="_x0000_s2051"/>
    <customShpInfo spid="_x0000_s2050"/>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49</Pages>
  <Words>13771</Words>
  <Characters>15052</Characters>
  <Lines>192</Lines>
  <Paragraphs>54</Paragraphs>
  <TotalTime>0</TotalTime>
  <ScaleCrop>false</ScaleCrop>
  <LinksUpToDate>false</LinksUpToDate>
  <CharactersWithSpaces>15167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2009-07-12T00:15:00Z</dcterms:created>
  <dc:creator>lenovo</dc:creator>
  <cp:lastModifiedBy>thtf</cp:lastModifiedBy>
  <cp:lastPrinted>2025-09-14T23:28:00Z</cp:lastPrinted>
  <dcterms:modified xsi:type="dcterms:W3CDTF">2025-09-22T10:46:16Z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eyJoZGlkIjoiMzEwNTM5NzYwMDRjMzkwZTVkZjY2ODkwMGIxNGU0OTUiLCJ1c2VySWQiOiI0NjYxMjA2NzcifQ==</vt:lpwstr>
  </property>
  <property fmtid="{D5CDD505-2E9C-101B-9397-08002B2CF9AE}" pid="4" name="ICV">
    <vt:lpwstr>D78E3CC708D747FC907E5042EFB7FFE7_12</vt:lpwstr>
  </property>
</Properties>
</file>